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57" w:rsidRPr="00F40C57" w:rsidRDefault="00F40C57" w:rsidP="00F40C57">
      <w:pPr>
        <w:pStyle w:val="berschrift2"/>
        <w:numPr>
          <w:ilvl w:val="0"/>
          <w:numId w:val="0"/>
        </w:numPr>
        <w:rPr>
          <w:sz w:val="28"/>
        </w:rPr>
      </w:pPr>
      <w:bookmarkStart w:id="0" w:name="_Toc428191330"/>
      <w:r w:rsidRPr="00F40C57">
        <w:rPr>
          <w:sz w:val="28"/>
        </w:rPr>
        <w:t xml:space="preserve">LV: Die </w:t>
      </w:r>
      <w:proofErr w:type="spellStart"/>
      <w:r w:rsidRPr="00F40C57">
        <w:rPr>
          <w:sz w:val="28"/>
        </w:rPr>
        <w:t>Ioduhr</w:t>
      </w:r>
      <w:bookmarkStart w:id="1" w:name="_Toc425776595"/>
      <w:bookmarkEnd w:id="0"/>
      <w:bookmarkEnd w:id="1"/>
      <w:proofErr w:type="spellEnd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40C57" w:rsidRPr="009C5E28" w:rsidTr="005A17F9">
        <w:tc>
          <w:tcPr>
            <w:tcW w:w="9322" w:type="dxa"/>
            <w:gridSpan w:val="9"/>
            <w:shd w:val="clear" w:color="auto" w:fill="4F81BD"/>
            <w:vAlign w:val="center"/>
          </w:tcPr>
          <w:p w:rsidR="00F40C57" w:rsidRPr="00F31EBF" w:rsidRDefault="00F40C57" w:rsidP="005A17F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40C57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Default="00F40C57" w:rsidP="005A17F9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F40C57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Default="00F40C57" w:rsidP="005A17F9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Default="00F40C57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0C57" w:rsidRDefault="00F40C57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</w:t>
            </w:r>
          </w:p>
        </w:tc>
      </w:tr>
      <w:tr w:rsidR="00F40C57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307870" w:rsidRDefault="00F40C57" w:rsidP="005A17F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Kaliumiodat (KIO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272, 315, 319, 335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221, 210, 220, 305+351+338,405, 501</w:t>
            </w:r>
          </w:p>
        </w:tc>
      </w:tr>
      <w:tr w:rsidR="00F40C57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Default="00F40C57" w:rsidP="005A17F9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Konz</w:t>
            </w:r>
            <w:proofErr w:type="spellEnd"/>
            <w:r>
              <w:rPr>
                <w:sz w:val="20"/>
              </w:rPr>
              <w:t>. 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290,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280, 301+330+331, 305+351+338, 309+310</w:t>
            </w:r>
          </w:p>
        </w:tc>
      </w:tr>
      <w:tr w:rsidR="00F40C57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307870" w:rsidRDefault="00F40C57" w:rsidP="005A17F9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Natriumsulfit (Na</w:t>
            </w:r>
            <w:r>
              <w:rPr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color w:val="auto"/>
                <w:sz w:val="20"/>
                <w:szCs w:val="20"/>
              </w:rPr>
              <w:t>SO</w:t>
            </w:r>
            <w:r>
              <w:rPr>
                <w:color w:val="auto"/>
                <w:sz w:val="20"/>
                <w:szCs w:val="20"/>
                <w:vertAlign w:val="subscript"/>
              </w:rPr>
              <w:t>3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-</w:t>
            </w:r>
          </w:p>
        </w:tc>
      </w:tr>
      <w:tr w:rsidR="00F40C57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Default="00F40C57" w:rsidP="005A17F9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Salicylsäure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302, 315, 318,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361, 270, 280, 302+352, 305+351+338</w:t>
            </w:r>
          </w:p>
        </w:tc>
      </w:tr>
      <w:tr w:rsidR="00F40C57" w:rsidRPr="009C5E28" w:rsidTr="005A17F9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F40C57" w:rsidRDefault="00F40C57" w:rsidP="005A17F9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Stärke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F40C57" w:rsidRPr="009C5E28" w:rsidRDefault="00F40C57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40C57" w:rsidRPr="009C5E28" w:rsidRDefault="00F40C57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F40C57" w:rsidRPr="009C5E28" w:rsidTr="005A17F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4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40C57" w:rsidRPr="009C5E28" w:rsidRDefault="00F40C57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Bechergläser, </w:t>
      </w:r>
      <w:proofErr w:type="spellStart"/>
      <w:r>
        <w:t>Magnetrührer</w:t>
      </w:r>
      <w:proofErr w:type="spellEnd"/>
      <w:r>
        <w:t xml:space="preserve"> mit Heizplatte und Rührfisch, Spatel</w:t>
      </w: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Demin</w:t>
      </w:r>
      <w:proofErr w:type="spellEnd"/>
      <w:r>
        <w:t xml:space="preserve">. Wasser, Ethanol, Kaliumiodat, </w:t>
      </w:r>
      <w:proofErr w:type="spellStart"/>
      <w:r>
        <w:t>konz</w:t>
      </w:r>
      <w:proofErr w:type="spellEnd"/>
      <w:r>
        <w:t xml:space="preserve">. Schwefelsäure, Natriumsulfit, </w:t>
      </w:r>
      <w:proofErr w:type="spellStart"/>
      <w:r>
        <w:t>Salicylsäure</w:t>
      </w:r>
      <w:proofErr w:type="spellEnd"/>
      <w:r>
        <w:t>, Stärkelösung</w:t>
      </w: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Es werden drei Lösungen benötigt, die jeweils wie folgt hergestellt werden:</w:t>
      </w: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Lösung 1: 2,1 g Kaliumiodat in 500 </w:t>
      </w:r>
      <w:proofErr w:type="spellStart"/>
      <w:r>
        <w:t>mL</w:t>
      </w:r>
      <w:proofErr w:type="spellEnd"/>
      <w:r>
        <w:t xml:space="preserve"> </w:t>
      </w:r>
      <w:proofErr w:type="spellStart"/>
      <w:r>
        <w:t>demin</w:t>
      </w:r>
      <w:proofErr w:type="spellEnd"/>
      <w:r>
        <w:t>. Wasser</w:t>
      </w: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Lösung 2: 0,29 g Natriumsulfit + 0,25 g </w:t>
      </w:r>
      <w:proofErr w:type="spellStart"/>
      <w:r>
        <w:t>Salicylsäure</w:t>
      </w:r>
      <w:proofErr w:type="spellEnd"/>
      <w:r>
        <w:t xml:space="preserve"> + 2,5 </w:t>
      </w:r>
      <w:proofErr w:type="spellStart"/>
      <w:r>
        <w:t>mL</w:t>
      </w:r>
      <w:proofErr w:type="spellEnd"/>
      <w:r>
        <w:t xml:space="preserve"> Ethanol + 1 g </w:t>
      </w:r>
      <w:proofErr w:type="spellStart"/>
      <w:r>
        <w:t>konz</w:t>
      </w:r>
      <w:proofErr w:type="spellEnd"/>
      <w:r>
        <w:t xml:space="preserve">. Schwefelsäure; alles in 500 </w:t>
      </w:r>
      <w:proofErr w:type="spellStart"/>
      <w:r>
        <w:t>mL</w:t>
      </w:r>
      <w:proofErr w:type="spellEnd"/>
      <w:r>
        <w:t xml:space="preserve"> Wasser lösen</w:t>
      </w: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Lösung 3: 1 g Stärke in 50 </w:t>
      </w:r>
      <w:proofErr w:type="spellStart"/>
      <w:r>
        <w:t>mL</w:t>
      </w:r>
      <w:proofErr w:type="spellEnd"/>
      <w:r>
        <w:t xml:space="preserve"> Wasser lösen. Damit sich die Stärke vollstä</w:t>
      </w:r>
      <w:r>
        <w:t>n</w:t>
      </w:r>
      <w:r>
        <w:t>dig löst, sollte die Lösung auf einer Heizplatte mit Rührfisch erhitzt werden.</w:t>
      </w: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Dann werden in vier Bechergläser jeweils 50 </w:t>
      </w:r>
      <w:proofErr w:type="spellStart"/>
      <w:r>
        <w:t>mL</w:t>
      </w:r>
      <w:proofErr w:type="spellEnd"/>
      <w:r>
        <w:t xml:space="preserve"> der Lösung 2 und 1 </w:t>
      </w:r>
      <w:proofErr w:type="spellStart"/>
      <w:r>
        <w:t>mL</w:t>
      </w:r>
      <w:proofErr w:type="spellEnd"/>
      <w:r>
        <w:t xml:space="preserve"> der Lösung 3 vorgelegt. In weiteren vier Bechergläsern wird die Lösung 1 mit demineralisiertem Wasser unterschiedlich stark verdünnt (siehe Tabelle 1). Dann werden die verdünnten Lösungen von Lösung 1 und die B</w:t>
      </w:r>
      <w:r>
        <w:t>e</w:t>
      </w:r>
      <w:r>
        <w:t>chergläser mit den vorgelegten Lösungen 2 und 3 gegeben und die Zeit bis zum Farbumschlag gestoppt.</w:t>
      </w: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</w:r>
      <w:r>
        <w:tab/>
      </w:r>
    </w:p>
    <w:p w:rsidR="00F40C57" w:rsidRDefault="00F40C57" w:rsidP="00F40C57">
      <w:pPr>
        <w:pStyle w:val="Beschriftung"/>
        <w:keepNext/>
        <w:ind w:firstLine="708"/>
        <w:jc w:val="center"/>
      </w:pPr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 xml:space="preserve">: Verdünnung von Lösung 1 und </w:t>
      </w:r>
      <w:proofErr w:type="spellStart"/>
      <w:r>
        <w:t>Messergebnisse</w:t>
      </w:r>
      <w:proofErr w:type="spellEnd"/>
      <w:r>
        <w:t xml:space="preserve"> der Reaktionszeit</w:t>
      </w:r>
      <w:r>
        <w:rPr>
          <w:noProof/>
        </w:rPr>
        <w:t>.</w:t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1530"/>
        <w:gridCol w:w="1843"/>
        <w:gridCol w:w="2300"/>
        <w:gridCol w:w="1635"/>
      </w:tblGrid>
      <w:tr w:rsidR="00F40C57" w:rsidTr="005A17F9">
        <w:tc>
          <w:tcPr>
            <w:tcW w:w="1530" w:type="dxa"/>
          </w:tcPr>
          <w:p w:rsidR="00F40C57" w:rsidRPr="00C96858" w:rsidRDefault="00F40C57" w:rsidP="005A17F9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C96858">
              <w:rPr>
                <w:b/>
              </w:rPr>
              <w:t>Becherglas</w:t>
            </w:r>
          </w:p>
        </w:tc>
        <w:tc>
          <w:tcPr>
            <w:tcW w:w="1843" w:type="dxa"/>
          </w:tcPr>
          <w:p w:rsidR="00F40C57" w:rsidRPr="00C96858" w:rsidRDefault="00F40C57" w:rsidP="005A17F9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C96858">
              <w:rPr>
                <w:b/>
              </w:rPr>
              <w:t>Lösung 1</w:t>
            </w:r>
            <w:r>
              <w:rPr>
                <w:b/>
              </w:rPr>
              <w:t xml:space="preserve"> in [</w:t>
            </w:r>
            <w:proofErr w:type="spellStart"/>
            <w:r>
              <w:rPr>
                <w:b/>
              </w:rPr>
              <w:t>mL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2300" w:type="dxa"/>
          </w:tcPr>
          <w:p w:rsidR="00F40C57" w:rsidRPr="00C96858" w:rsidRDefault="00F40C57" w:rsidP="005A17F9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proofErr w:type="spellStart"/>
            <w:r w:rsidRPr="00C96858">
              <w:rPr>
                <w:b/>
              </w:rPr>
              <w:t>demin</w:t>
            </w:r>
            <w:proofErr w:type="spellEnd"/>
            <w:r w:rsidRPr="00C96858">
              <w:rPr>
                <w:b/>
              </w:rPr>
              <w:t>. Wasser</w:t>
            </w:r>
            <w:r>
              <w:rPr>
                <w:b/>
              </w:rPr>
              <w:t xml:space="preserve"> in [</w:t>
            </w:r>
            <w:proofErr w:type="spellStart"/>
            <w:r>
              <w:rPr>
                <w:b/>
              </w:rPr>
              <w:t>mL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1635" w:type="dxa"/>
          </w:tcPr>
          <w:p w:rsidR="00F40C57" w:rsidRPr="00C96858" w:rsidRDefault="00F40C57" w:rsidP="005A17F9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C96858">
              <w:rPr>
                <w:b/>
              </w:rPr>
              <w:t>Reaktionszeit in [sec]</w:t>
            </w:r>
          </w:p>
        </w:tc>
      </w:tr>
      <w:tr w:rsidR="00F40C57" w:rsidTr="005A17F9">
        <w:tc>
          <w:tcPr>
            <w:tcW w:w="153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6,25</w:t>
            </w:r>
          </w:p>
        </w:tc>
        <w:tc>
          <w:tcPr>
            <w:tcW w:w="230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40,75</w:t>
            </w:r>
          </w:p>
        </w:tc>
        <w:tc>
          <w:tcPr>
            <w:tcW w:w="1635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70,5</w:t>
            </w:r>
          </w:p>
        </w:tc>
      </w:tr>
      <w:tr w:rsidR="00F40C57" w:rsidTr="005A17F9">
        <w:tc>
          <w:tcPr>
            <w:tcW w:w="153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12,5</w:t>
            </w:r>
          </w:p>
        </w:tc>
        <w:tc>
          <w:tcPr>
            <w:tcW w:w="230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37,5</w:t>
            </w:r>
          </w:p>
        </w:tc>
        <w:tc>
          <w:tcPr>
            <w:tcW w:w="1635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31,0</w:t>
            </w:r>
          </w:p>
        </w:tc>
      </w:tr>
      <w:tr w:rsidR="00F40C57" w:rsidTr="005A17F9">
        <w:tc>
          <w:tcPr>
            <w:tcW w:w="153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25</w:t>
            </w:r>
          </w:p>
        </w:tc>
        <w:tc>
          <w:tcPr>
            <w:tcW w:w="230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25</w:t>
            </w:r>
          </w:p>
        </w:tc>
        <w:tc>
          <w:tcPr>
            <w:tcW w:w="1635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13,6</w:t>
            </w:r>
          </w:p>
        </w:tc>
      </w:tr>
      <w:tr w:rsidR="00F40C57" w:rsidTr="005A17F9">
        <w:tc>
          <w:tcPr>
            <w:tcW w:w="153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50</w:t>
            </w:r>
          </w:p>
        </w:tc>
        <w:tc>
          <w:tcPr>
            <w:tcW w:w="2300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F40C57" w:rsidRDefault="00F40C57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6,3</w:t>
            </w:r>
          </w:p>
        </w:tc>
      </w:tr>
    </w:tbl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</w:p>
    <w:p w:rsidR="00F40C57" w:rsidRDefault="00F40C57" w:rsidP="00F40C5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Der Farbumschlag erfolgt von farblos zu orange-braun.</w:t>
      </w:r>
    </w:p>
    <w:p w:rsidR="00F40C57" w:rsidRDefault="00F40C57" w:rsidP="00F40C57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3419475" cy="2003124"/>
            <wp:effectExtent l="171450" t="133350" r="371475" b="301926"/>
            <wp:docPr id="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03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0C57" w:rsidRDefault="00F40C57" w:rsidP="00F40C57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 Die zusammengegebenen Lösungen vor (links) und nach (rechts) dem Farbumschlag.</w:t>
      </w:r>
    </w:p>
    <w:p w:rsidR="00F40C57" w:rsidRDefault="00F40C57" w:rsidP="00F40C57">
      <w:pPr>
        <w:tabs>
          <w:tab w:val="left" w:pos="1701"/>
          <w:tab w:val="left" w:pos="1985"/>
        </w:tabs>
        <w:ind w:left="2124" w:hanging="2124"/>
      </w:pPr>
    </w:p>
    <w:p w:rsidR="00F40C57" w:rsidRDefault="00F40C57" w:rsidP="00F40C57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Es laufen folgende Reaktionen ab:</w:t>
      </w:r>
    </w:p>
    <w:p w:rsidR="00F40C57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Das Iodat-Ion reagiert in saurer Lösung mit den Hydrogensulfit-Ionen, die als schwaches Reduktionsmittel fungieren</w:t>
      </w:r>
    </w:p>
    <w:p w:rsidR="00F40C57" w:rsidRPr="00900F33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Oxidation: HSO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</w:t>
      </w:r>
      <w:r>
        <w:sym w:font="Wingdings" w:char="F0E0"/>
      </w:r>
      <w:r>
        <w:t xml:space="preserve"> HSO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+ 2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+ 2 e</w:t>
      </w:r>
      <w:r>
        <w:rPr>
          <w:vertAlign w:val="superscript"/>
        </w:rPr>
        <w:t>-</w:t>
      </w:r>
      <w:r>
        <w:rPr>
          <w:vertAlign w:val="superscript"/>
        </w:rPr>
        <w:softHyphen/>
      </w:r>
      <w:r>
        <w:rPr>
          <w:vertAlign w:val="subscript"/>
        </w:rPr>
        <w:t xml:space="preserve"> </w:t>
      </w:r>
      <w:r>
        <w:t>| x3</w:t>
      </w:r>
    </w:p>
    <w:p w:rsidR="00F40C57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Reduktion: IO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+ 6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+ 6 e</w:t>
      </w:r>
      <w:r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I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+ 3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</w:t>
      </w:r>
    </w:p>
    <w:p w:rsidR="00F40C57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Redoxreaktion: IO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+ 6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+ 3 HSO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3 HSO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+ 6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I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F40C57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Wenn das Reduktionsmittel verbraucht wurde, dann reagieren die übe</w:t>
      </w:r>
      <w:r>
        <w:t>r</w:t>
      </w:r>
      <w:r>
        <w:t xml:space="preserve">schüssigen Iodat-Ionen mit den Iodid-Ionen schlagartig </w:t>
      </w:r>
      <w:r>
        <w:lastRenderedPageBreak/>
        <w:t xml:space="preserve">(Farbumschlag) zu elementarem Iod. Es handelt sich um eine </w:t>
      </w:r>
      <w:proofErr w:type="spellStart"/>
      <w:r>
        <w:t>Synproportionierungsreaktion</w:t>
      </w:r>
      <w:proofErr w:type="spellEnd"/>
      <w:r>
        <w:t>.</w:t>
      </w:r>
    </w:p>
    <w:p w:rsidR="00F40C57" w:rsidRPr="00077390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Oxidation: 2 I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I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+ 2e</w:t>
      </w:r>
      <w:r>
        <w:rPr>
          <w:vertAlign w:val="superscript"/>
        </w:rPr>
        <w:t>-</w:t>
      </w:r>
      <w:r>
        <w:t xml:space="preserve"> | x3</w:t>
      </w:r>
    </w:p>
    <w:p w:rsidR="00F40C57" w:rsidRPr="00077390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Reduktion: IO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6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+ 6 e</w:t>
      </w:r>
      <w:r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I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+ 3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</w:t>
      </w:r>
    </w:p>
    <w:p w:rsidR="00F40C57" w:rsidRPr="008E7268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Redoxreaktion: 6 I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IO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6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3 I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+ 3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+ I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F40C57" w:rsidRPr="00270612" w:rsidRDefault="00F40C57" w:rsidP="00F40C5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Das bedeutet, die Reaktionsgeschwindigkeit zeigt eine Konzentrationsa</w:t>
      </w:r>
      <w:r>
        <w:t>b</w:t>
      </w:r>
      <w:r>
        <w:t>hängigkeit, die von der Konzentration des Reduktionsmittels abhängig ist. Durch die unterschiedlichen Konzentrationen der Lösungen untersche</w:t>
      </w:r>
      <w:r>
        <w:t>i</w:t>
      </w:r>
      <w:r>
        <w:t>den sich die Farbumschläge zeitlich.</w:t>
      </w:r>
    </w:p>
    <w:p w:rsidR="00F40C57" w:rsidRDefault="00F40C57" w:rsidP="00F40C57">
      <w:pPr>
        <w:ind w:left="2124" w:hanging="2124"/>
        <w:jc w:val="left"/>
      </w:pPr>
      <w:r>
        <w:t>Entsorgung:</w:t>
      </w:r>
      <w:r>
        <w:tab/>
        <w:t xml:space="preserve"> Die Lösungen werden mit </w:t>
      </w:r>
      <w:proofErr w:type="spellStart"/>
      <w:r>
        <w:t>Natriumthiosulfat</w:t>
      </w:r>
      <w:proofErr w:type="spellEnd"/>
      <w:r>
        <w:t xml:space="preserve"> versetzt und in den Behälter für organische Stoffe gegeben.</w:t>
      </w:r>
    </w:p>
    <w:p w:rsidR="00F40C57" w:rsidRDefault="00F40C57" w:rsidP="00F40C57">
      <w:pPr>
        <w:ind w:left="2124" w:hanging="2124"/>
        <w:jc w:val="left"/>
      </w:pPr>
      <w:r>
        <w:t>Literatur:</w:t>
      </w:r>
      <w:r>
        <w:tab/>
        <w:t xml:space="preserve">D. </w:t>
      </w:r>
      <w:proofErr w:type="spellStart"/>
      <w:r>
        <w:t>Wiechoczek</w:t>
      </w:r>
      <w:proofErr w:type="spellEnd"/>
      <w:r>
        <w:t xml:space="preserve">, </w:t>
      </w:r>
      <w:r w:rsidRPr="00270612">
        <w:t>http://www.chemieunterricht.de/dc2/rk/v-landol.htm</w:t>
      </w:r>
      <w:r>
        <w:t>, 07.12.2004 (letzter Aufruf am 14.08.2015 um 8.05 Uhr).</w:t>
      </w:r>
    </w:p>
    <w:p w:rsidR="00F40C57" w:rsidRDefault="00F40C57" w:rsidP="00F40C57">
      <w:pPr>
        <w:ind w:left="2124"/>
        <w:jc w:val="left"/>
      </w:pPr>
      <w:r>
        <w:t xml:space="preserve">D. </w:t>
      </w:r>
      <w:proofErr w:type="spellStart"/>
      <w:r>
        <w:t>Wiechoczek</w:t>
      </w:r>
      <w:proofErr w:type="spellEnd"/>
      <w:r>
        <w:t xml:space="preserve">, </w:t>
      </w:r>
      <w:r w:rsidRPr="00270612">
        <w:t>http://www.chemieunterricht.de/dc2/rk/landolt.htm</w:t>
      </w:r>
      <w:r>
        <w:t>, 04.09.2006 (letzter Aufruf am 14.08.2015 um 7.36 Uhr).</w:t>
      </w:r>
    </w:p>
    <w:p w:rsidR="00F40C57" w:rsidRDefault="00F40C57" w:rsidP="00F40C57">
      <w:pPr>
        <w:ind w:left="2124"/>
        <w:jc w:val="left"/>
      </w:pPr>
    </w:p>
    <w:p w:rsidR="00F40C57" w:rsidRPr="006E32AF" w:rsidRDefault="00F40C57" w:rsidP="00F40C57">
      <w:pPr>
        <w:tabs>
          <w:tab w:val="left" w:pos="1701"/>
          <w:tab w:val="left" w:pos="1985"/>
        </w:tabs>
        <w:rPr>
          <w:rFonts w:eastAsiaTheme="minorEastAsia"/>
        </w:rPr>
      </w:pPr>
      <w:r w:rsidRPr="005E71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63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F40C57" w:rsidRPr="004A12D8" w:rsidRDefault="00F40C57" w:rsidP="00F40C5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Farbumschlag sollte eigentlich von farblos zu dunkel violett erfolgen, da sich ein Iod-Stärke-Komplex ausbildet. Dies hat beim Durchlauf nicht funktioniert. Es könnte daran gelegen haben, dass die Stärke-Lösung nicht frisch genug war.</w:t>
                  </w:r>
                </w:p>
              </w:txbxContent>
            </v:textbox>
            <w10:wrap type="none"/>
            <w10:anchorlock/>
          </v:shape>
        </w:pict>
      </w:r>
    </w:p>
    <w:p w:rsidR="00F40C57" w:rsidRDefault="00F40C57" w:rsidP="00F40C57">
      <w:pPr>
        <w:pStyle w:val="berschrift1"/>
        <w:numPr>
          <w:ilvl w:val="0"/>
          <w:numId w:val="0"/>
        </w:numPr>
        <w:ind w:left="432" w:hanging="432"/>
      </w:pPr>
    </w:p>
    <w:p w:rsidR="00BC7714" w:rsidRDefault="00BC7714"/>
    <w:sectPr w:rsidR="00BC7714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0C57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4B1A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C753A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4416B"/>
    <w:rsid w:val="00D44FCA"/>
    <w:rsid w:val="00D5068E"/>
    <w:rsid w:val="00D52028"/>
    <w:rsid w:val="00D55582"/>
    <w:rsid w:val="00D5668E"/>
    <w:rsid w:val="00D56ABD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0C57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0C5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0C5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0C5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C5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0C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0C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0C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0C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0C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0C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0C5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0C5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C5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0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0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0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0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0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0C57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F4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C5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2015-08-27T09:33:00Z</dcterms:created>
  <dcterms:modified xsi:type="dcterms:W3CDTF">2015-08-27T09:35:00Z</dcterms:modified>
</cp:coreProperties>
</file>