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CD" w:rsidRDefault="000260CD" w:rsidP="000260CD">
      <w:pPr>
        <w:pStyle w:val="berschrift1"/>
        <w:numPr>
          <w:ilvl w:val="0"/>
          <w:numId w:val="0"/>
        </w:numPr>
        <w:ind w:left="432" w:hanging="43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83.2pt;width:462.45pt;height:78.9pt;z-index:251660288;mso-width-relative:margin;mso-height-relative:margin" fillcolor="white [3201]" strokecolor="#4bacc6 [3208]" strokeweight="1pt">
            <v:stroke dashstyle="dash"/>
            <v:shadow color="#868686"/>
            <v:textbox style="mso-next-textbox:#_x0000_s1027">
              <w:txbxContent>
                <w:p w:rsidR="000260CD" w:rsidRDefault="000260CD" w:rsidP="000260CD">
                  <w:pPr>
                    <w:rPr>
                      <w:color w:val="auto"/>
                    </w:rPr>
                  </w:pPr>
                  <w:r>
                    <w:rPr>
                      <w:color w:val="auto"/>
                    </w:rPr>
                    <w:t>Der Versuch sollte mindestens zu zweit oder in einer Gruppe durchgeführt werden, damit die Messung so genau wie möglich erfolgt.</w:t>
                  </w:r>
                </w:p>
                <w:p w:rsidR="000260CD" w:rsidRPr="00F31EBF" w:rsidRDefault="000260CD" w:rsidP="000260CD">
                  <w:pPr>
                    <w:rPr>
                      <w:color w:val="auto"/>
                    </w:rPr>
                  </w:pPr>
                  <w:r>
                    <w:rPr>
                      <w:color w:val="auto"/>
                    </w:rPr>
                    <w:t>Als vertiefende Rechnung wird die Reaktionsordnung der Reaktion bestimmt.</w:t>
                  </w:r>
                </w:p>
              </w:txbxContent>
            </v:textbox>
            <w10:wrap type="square"/>
          </v:shape>
        </w:pict>
      </w:r>
      <w:bookmarkStart w:id="0" w:name="_Toc428191270"/>
      <w:r>
        <w:t>SV: Abhängigkeit der Reaktionsgeschwindigkeit von der Konzentration</w:t>
      </w:r>
      <w:bookmarkEnd w:id="0"/>
    </w:p>
    <w:p w:rsidR="000260CD" w:rsidRPr="004A1741" w:rsidRDefault="000260CD" w:rsidP="000260CD"/>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260CD" w:rsidRPr="009C5E28" w:rsidTr="005A17F9">
        <w:tc>
          <w:tcPr>
            <w:tcW w:w="9322" w:type="dxa"/>
            <w:gridSpan w:val="9"/>
            <w:shd w:val="clear" w:color="auto" w:fill="4F81BD"/>
            <w:vAlign w:val="center"/>
          </w:tcPr>
          <w:p w:rsidR="000260CD" w:rsidRPr="00F31EBF" w:rsidRDefault="000260CD" w:rsidP="005A17F9">
            <w:pPr>
              <w:spacing w:after="0"/>
              <w:jc w:val="center"/>
              <w:rPr>
                <w:b/>
                <w:bCs/>
                <w:color w:val="FFFFFF" w:themeColor="background1"/>
              </w:rPr>
            </w:pPr>
            <w:r w:rsidRPr="00F31EBF">
              <w:rPr>
                <w:b/>
                <w:bCs/>
                <w:color w:val="FFFFFF" w:themeColor="background1"/>
              </w:rPr>
              <w:t>Gefahrenstoffe</w:t>
            </w:r>
          </w:p>
        </w:tc>
      </w:tr>
      <w:tr w:rsidR="000260CD" w:rsidRPr="009C5E28" w:rsidTr="005A17F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260CD" w:rsidRDefault="000260CD" w:rsidP="005A17F9">
            <w:pPr>
              <w:spacing w:after="0" w:line="276" w:lineRule="auto"/>
              <w:jc w:val="center"/>
              <w:rPr>
                <w:sz w:val="20"/>
              </w:rPr>
            </w:pPr>
            <w:r>
              <w:rPr>
                <w:sz w:val="20"/>
              </w:rPr>
              <w:t>Magnesiumpulver</w:t>
            </w:r>
          </w:p>
        </w:tc>
        <w:tc>
          <w:tcPr>
            <w:tcW w:w="3177" w:type="dxa"/>
            <w:gridSpan w:val="3"/>
            <w:tcBorders>
              <w:top w:val="single" w:sz="8" w:space="0" w:color="4F81BD"/>
              <w:bottom w:val="single" w:sz="8" w:space="0" w:color="4F81BD"/>
            </w:tcBorders>
            <w:shd w:val="clear" w:color="auto" w:fill="auto"/>
            <w:vAlign w:val="center"/>
          </w:tcPr>
          <w:p w:rsidR="000260CD" w:rsidRPr="004B26AC" w:rsidRDefault="000260CD" w:rsidP="005A17F9">
            <w:pPr>
              <w:spacing w:after="0"/>
              <w:jc w:val="center"/>
              <w:rPr>
                <w:sz w:val="20"/>
              </w:rPr>
            </w:pPr>
            <w:r>
              <w:rPr>
                <w:sz w:val="20"/>
              </w:rPr>
              <w:t>H: 260, 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260CD" w:rsidRPr="004B26AC" w:rsidRDefault="000260CD" w:rsidP="005A17F9">
            <w:pPr>
              <w:spacing w:after="0"/>
              <w:jc w:val="center"/>
              <w:rPr>
                <w:sz w:val="20"/>
              </w:rPr>
            </w:pPr>
            <w:r>
              <w:rPr>
                <w:sz w:val="20"/>
              </w:rPr>
              <w:t>P: 210, 370+378, 402+404</w:t>
            </w:r>
          </w:p>
        </w:tc>
      </w:tr>
      <w:tr w:rsidR="000260CD" w:rsidRPr="009C5E28" w:rsidTr="005A17F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260CD" w:rsidRPr="004B26AC" w:rsidRDefault="000260CD" w:rsidP="005A17F9">
            <w:pPr>
              <w:spacing w:after="0" w:line="276" w:lineRule="auto"/>
              <w:jc w:val="center"/>
              <w:rPr>
                <w:sz w:val="20"/>
              </w:rPr>
            </w:pPr>
            <w:r>
              <w:rPr>
                <w:sz w:val="20"/>
              </w:rPr>
              <w:t xml:space="preserve">Salzsäure (c = 2 </w:t>
            </w:r>
            <w:proofErr w:type="spellStart"/>
            <w:r>
              <w:rPr>
                <w:sz w:val="20"/>
              </w:rPr>
              <w:t>mol</w:t>
            </w:r>
            <w:proofErr w:type="spellEnd"/>
            <w:r>
              <w:rPr>
                <w:sz w:val="20"/>
              </w:rPr>
              <w:t>/L)</w:t>
            </w:r>
          </w:p>
        </w:tc>
        <w:tc>
          <w:tcPr>
            <w:tcW w:w="3177" w:type="dxa"/>
            <w:gridSpan w:val="3"/>
            <w:tcBorders>
              <w:top w:val="single" w:sz="8" w:space="0" w:color="4F81BD"/>
              <w:bottom w:val="single" w:sz="8" w:space="0" w:color="4F81BD"/>
            </w:tcBorders>
            <w:shd w:val="clear" w:color="auto" w:fill="auto"/>
            <w:vAlign w:val="center"/>
          </w:tcPr>
          <w:p w:rsidR="000260CD" w:rsidRPr="004B26AC" w:rsidRDefault="000260CD" w:rsidP="005A17F9">
            <w:pPr>
              <w:spacing w:after="0"/>
              <w:jc w:val="center"/>
              <w:rPr>
                <w:sz w:val="20"/>
              </w:rPr>
            </w:pPr>
            <w:r w:rsidRPr="004B26AC">
              <w:rPr>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260CD" w:rsidRPr="004B26AC" w:rsidRDefault="000260CD" w:rsidP="005A17F9">
            <w:pPr>
              <w:spacing w:after="0"/>
              <w:jc w:val="center"/>
              <w:rPr>
                <w:sz w:val="20"/>
              </w:rPr>
            </w:pPr>
            <w:r w:rsidRPr="004B26AC">
              <w:rPr>
                <w:sz w:val="20"/>
              </w:rPr>
              <w:t>P: 234, 260, 305+351+338, 303+361+353, 304+340, 309+311, 501</w:t>
            </w:r>
          </w:p>
        </w:tc>
      </w:tr>
      <w:tr w:rsidR="000260CD" w:rsidRPr="009C5E28" w:rsidTr="005A17F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260CD" w:rsidRDefault="000260CD" w:rsidP="005A17F9">
            <w:pPr>
              <w:spacing w:after="0" w:line="276" w:lineRule="auto"/>
              <w:jc w:val="center"/>
              <w:rPr>
                <w:sz w:val="20"/>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rsidR="000260CD" w:rsidRPr="004B26AC" w:rsidRDefault="000260CD" w:rsidP="005A17F9">
            <w:pPr>
              <w:spacing w:after="0"/>
              <w:jc w:val="center"/>
              <w:rPr>
                <w:sz w:val="20"/>
              </w:rPr>
            </w:pPr>
            <w:r>
              <w:rPr>
                <w:sz w:val="20"/>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260CD" w:rsidRPr="004B26AC" w:rsidRDefault="000260CD" w:rsidP="005A17F9">
            <w:pPr>
              <w:spacing w:after="0"/>
              <w:jc w:val="center"/>
              <w:rPr>
                <w:sz w:val="20"/>
              </w:rPr>
            </w:pPr>
            <w:r>
              <w:rPr>
                <w:sz w:val="20"/>
              </w:rPr>
              <w:t>P: 210, 377, 381, 403</w:t>
            </w:r>
          </w:p>
        </w:tc>
      </w:tr>
      <w:tr w:rsidR="000260CD" w:rsidRPr="009C5E28" w:rsidTr="005A17F9">
        <w:tc>
          <w:tcPr>
            <w:tcW w:w="1009" w:type="dxa"/>
            <w:tcBorders>
              <w:top w:val="single" w:sz="8" w:space="0" w:color="4F81BD"/>
              <w:left w:val="single" w:sz="8" w:space="0" w:color="4F81BD"/>
              <w:bottom w:val="single" w:sz="8" w:space="0" w:color="4F81BD"/>
            </w:tcBorders>
            <w:shd w:val="clear" w:color="auto" w:fill="auto"/>
            <w:vAlign w:val="center"/>
          </w:tcPr>
          <w:p w:rsidR="000260CD" w:rsidRPr="009C5E28" w:rsidRDefault="000260CD" w:rsidP="005A17F9">
            <w:pPr>
              <w:spacing w:after="0"/>
              <w:jc w:val="center"/>
              <w:rPr>
                <w:b/>
                <w:bCs/>
              </w:rPr>
            </w:pPr>
            <w:r>
              <w:rPr>
                <w:b/>
                <w:noProof/>
                <w:lang w:eastAsia="de-DE"/>
              </w:rPr>
              <w:drawing>
                <wp:inline distT="0" distB="0" distL="0" distR="0">
                  <wp:extent cx="504190" cy="504190"/>
                  <wp:effectExtent l="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04190" cy="504190"/>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04190" cy="504190"/>
                  <wp:effectExtent l="1905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04190" cy="504190"/>
                  <wp:effectExtent l="1905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04190" cy="504190"/>
                  <wp:effectExtent l="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11175" cy="511175"/>
                  <wp:effectExtent l="0" t="0" r="0"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260CD" w:rsidRPr="009C5E28" w:rsidRDefault="000260CD" w:rsidP="005A17F9">
            <w:pPr>
              <w:spacing w:after="0"/>
              <w:jc w:val="center"/>
            </w:pPr>
            <w:r>
              <w:rPr>
                <w:noProof/>
                <w:lang w:eastAsia="de-DE"/>
              </w:rPr>
              <w:drawing>
                <wp:inline distT="0" distB="0" distL="0" distR="0">
                  <wp:extent cx="504190" cy="504190"/>
                  <wp:effectExtent l="0" t="0" r="0" b="0"/>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260CD" w:rsidRDefault="000260CD" w:rsidP="000260CD">
      <w:pPr>
        <w:tabs>
          <w:tab w:val="left" w:pos="1701"/>
          <w:tab w:val="left" w:pos="1985"/>
        </w:tabs>
        <w:ind w:left="1980" w:hanging="1980"/>
      </w:pPr>
    </w:p>
    <w:p w:rsidR="000260CD" w:rsidRDefault="000260CD" w:rsidP="000260CD">
      <w:pPr>
        <w:tabs>
          <w:tab w:val="left" w:pos="1701"/>
          <w:tab w:val="left" w:pos="1843"/>
          <w:tab w:val="left" w:pos="1985"/>
        </w:tabs>
        <w:ind w:left="2124" w:hanging="2124"/>
      </w:pPr>
      <w:r>
        <w:t xml:space="preserve">Materialien: </w:t>
      </w:r>
      <w:r>
        <w:tab/>
      </w:r>
      <w:r>
        <w:tab/>
      </w:r>
      <w:r>
        <w:tab/>
      </w:r>
      <w:r>
        <w:tab/>
        <w:t xml:space="preserve">Stativ, Stativklemme, Muffe, </w:t>
      </w:r>
      <w:proofErr w:type="spellStart"/>
      <w:r>
        <w:t>Kolbenprober</w:t>
      </w:r>
      <w:proofErr w:type="spellEnd"/>
      <w:r>
        <w:t>, Schlauch, Schlauchklemmen, Spritze mit Kanüle, Gummistopfen, Reagenzglas mit seitlichem Abgang, Stoppuhr</w:t>
      </w:r>
    </w:p>
    <w:p w:rsidR="000260CD" w:rsidRPr="00ED07C2" w:rsidRDefault="000260CD" w:rsidP="000260CD">
      <w:pPr>
        <w:tabs>
          <w:tab w:val="left" w:pos="1701"/>
          <w:tab w:val="left" w:pos="1985"/>
        </w:tabs>
        <w:ind w:left="1980" w:hanging="1980"/>
      </w:pPr>
      <w:r>
        <w:t>Chemikalien:</w:t>
      </w:r>
      <w:r>
        <w:tab/>
      </w:r>
      <w:r>
        <w:tab/>
      </w:r>
      <w:r>
        <w:tab/>
      </w:r>
      <w:r>
        <w:tab/>
        <w:t xml:space="preserve">Magnesiumpulver, Salzsäure (c = 0,1 </w:t>
      </w:r>
      <w:proofErr w:type="spellStart"/>
      <w:r>
        <w:t>mol</w:t>
      </w:r>
      <w:proofErr w:type="spellEnd"/>
      <w:r>
        <w:t xml:space="preserve">/L; c = 1 </w:t>
      </w:r>
      <w:proofErr w:type="spellStart"/>
      <w:r>
        <w:t>mol</w:t>
      </w:r>
      <w:proofErr w:type="spellEnd"/>
      <w:r>
        <w:t xml:space="preserve">/L; c = 2 </w:t>
      </w:r>
      <w:proofErr w:type="spellStart"/>
      <w:r>
        <w:t>mol</w:t>
      </w:r>
      <w:proofErr w:type="spellEnd"/>
      <w:r>
        <w:t>/L)</w:t>
      </w:r>
    </w:p>
    <w:p w:rsidR="000260CD" w:rsidRDefault="000260CD" w:rsidP="000260CD">
      <w:pPr>
        <w:tabs>
          <w:tab w:val="left" w:pos="1701"/>
          <w:tab w:val="left" w:pos="1985"/>
        </w:tabs>
        <w:ind w:left="2124" w:hanging="2124"/>
      </w:pPr>
      <w:r>
        <w:t xml:space="preserve">Durchführung: </w:t>
      </w:r>
      <w:r>
        <w:tab/>
      </w:r>
      <w:r>
        <w:tab/>
      </w:r>
      <w:r>
        <w:tab/>
        <w:t xml:space="preserve">In das Reagenzglas werden 2 </w:t>
      </w:r>
      <w:proofErr w:type="spellStart"/>
      <w:r>
        <w:t>Spatelspitzen</w:t>
      </w:r>
      <w:proofErr w:type="spellEnd"/>
      <w:r>
        <w:t xml:space="preserve"> Magnesiumpulver gegeben. Anschließend wird dieses mit dem Stopfen mit durchgesteckter Kanüle verschlossen und die Spritze, gefüllt mit Salzsäure, gesichert darauf befe</w:t>
      </w:r>
      <w:r>
        <w:t>s</w:t>
      </w:r>
      <w:r>
        <w:t>tigt. Am seitlichen Abgang des Reagenzglases wird mit Hilfe eines Schla</w:t>
      </w:r>
      <w:r>
        <w:t>u</w:t>
      </w:r>
      <w:r>
        <w:t xml:space="preserve">ches und Schlauchklemmen eine Verbindung zum </w:t>
      </w:r>
      <w:proofErr w:type="spellStart"/>
      <w:r>
        <w:t>Kolbenprober</w:t>
      </w:r>
      <w:proofErr w:type="spellEnd"/>
      <w:r>
        <w:t xml:space="preserve"> herg</w:t>
      </w:r>
      <w:r>
        <w:t>e</w:t>
      </w:r>
      <w:r>
        <w:t xml:space="preserve">stellt, der locker in Stativklemmen eingehängt wird. Der Hahn des </w:t>
      </w:r>
      <w:proofErr w:type="spellStart"/>
      <w:r>
        <w:t>Kolbenprobers</w:t>
      </w:r>
      <w:proofErr w:type="spellEnd"/>
      <w:r>
        <w:t xml:space="preserve"> wird geöffnet und die Salzsäure auf das Magnesiumpulver gespritzt. Das entstehende Gas wird im </w:t>
      </w:r>
      <w:proofErr w:type="spellStart"/>
      <w:r>
        <w:t>Kolbenprober</w:t>
      </w:r>
      <w:proofErr w:type="spellEnd"/>
      <w:r>
        <w:t xml:space="preserve"> aufgefangen. Dabei wird die Zeit gestoppt, bis der Kolben 10 </w:t>
      </w:r>
      <w:proofErr w:type="spellStart"/>
      <w:r>
        <w:t>mL</w:t>
      </w:r>
      <w:proofErr w:type="spellEnd"/>
      <w:r>
        <w:t xml:space="preserve"> Volumen anzeigt. Der Ve</w:t>
      </w:r>
      <w:r>
        <w:t>r</w:t>
      </w:r>
      <w:r>
        <w:t>such wird mit unterschiedlichen Salzsäurekonzentrationen (siehe Tabelle und Chemikalien) widerholt.</w:t>
      </w:r>
    </w:p>
    <w:p w:rsidR="000260CD" w:rsidRDefault="000260CD" w:rsidP="000260CD">
      <w:pPr>
        <w:keepNext/>
        <w:tabs>
          <w:tab w:val="left" w:pos="1701"/>
          <w:tab w:val="left" w:pos="1985"/>
        </w:tabs>
        <w:ind w:left="1980" w:hanging="1980"/>
        <w:jc w:val="center"/>
      </w:pPr>
      <w:r w:rsidRPr="005B7219">
        <w:rPr>
          <w:noProof/>
          <w:lang w:eastAsia="de-DE"/>
        </w:rPr>
        <w:lastRenderedPageBreak/>
        <w:drawing>
          <wp:inline distT="0" distB="0" distL="0" distR="0">
            <wp:extent cx="2798398" cy="2418464"/>
            <wp:effectExtent l="171450" t="133350" r="363902" b="305686"/>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811119" cy="2429458"/>
                    </a:xfrm>
                    <a:prstGeom prst="rect">
                      <a:avLst/>
                    </a:prstGeom>
                    <a:ln>
                      <a:noFill/>
                    </a:ln>
                    <a:effectLst>
                      <a:outerShdw blurRad="292100" dist="139700" dir="2700000" algn="tl" rotWithShape="0">
                        <a:srgbClr val="333333">
                          <a:alpha val="65000"/>
                        </a:srgbClr>
                      </a:outerShdw>
                    </a:effectLst>
                  </pic:spPr>
                </pic:pic>
              </a:graphicData>
            </a:graphic>
          </wp:inline>
        </w:drawing>
      </w:r>
    </w:p>
    <w:p w:rsidR="000260CD" w:rsidRDefault="000260CD" w:rsidP="000260CD">
      <w:pPr>
        <w:pStyle w:val="Beschriftung"/>
        <w:jc w:val="center"/>
      </w:pPr>
      <w:r>
        <w:t xml:space="preserve">Abbildung </w:t>
      </w:r>
      <w:fldSimple w:instr=" SEQ Abbildung \* ARABIC ">
        <w:r>
          <w:rPr>
            <w:noProof/>
          </w:rPr>
          <w:t>2</w:t>
        </w:r>
      </w:fldSimple>
      <w:r>
        <w:t>: Versuchsaufbau zur Messung der Reaktionsgeschwindigkeit bei unterschiedlichen Salzsäurekonzentr</w:t>
      </w:r>
      <w:r>
        <w:t>a</w:t>
      </w:r>
      <w:r>
        <w:t>tionen.</w:t>
      </w:r>
    </w:p>
    <w:p w:rsidR="000260CD" w:rsidRDefault="000260CD" w:rsidP="000260CD">
      <w:pPr>
        <w:tabs>
          <w:tab w:val="left" w:pos="1701"/>
          <w:tab w:val="left" w:pos="1985"/>
        </w:tabs>
        <w:ind w:left="2124" w:hanging="2124"/>
      </w:pPr>
      <w:r>
        <w:t>Beobachtung:</w:t>
      </w:r>
      <w:r>
        <w:tab/>
      </w:r>
      <w:r>
        <w:tab/>
      </w:r>
      <w:r>
        <w:tab/>
        <w:t xml:space="preserve">Bei unterschiedlichen Salzsäurekonzentrationen werden unterschiedliche Zeiten bis zum Erreichen des Kolbens zu 10 </w:t>
      </w:r>
      <w:proofErr w:type="spellStart"/>
      <w:r>
        <w:t>mL</w:t>
      </w:r>
      <w:proofErr w:type="spellEnd"/>
      <w:r>
        <w:t xml:space="preserve"> Gasentwicklung geme</w:t>
      </w:r>
      <w:r>
        <w:t>s</w:t>
      </w:r>
      <w:r>
        <w:t xml:space="preserve">sen. Es werden folgende </w:t>
      </w:r>
      <w:proofErr w:type="spellStart"/>
      <w:r>
        <w:t>Messergebnisse</w:t>
      </w:r>
      <w:proofErr w:type="spellEnd"/>
      <w:r>
        <w:t xml:space="preserve"> erhalten:</w:t>
      </w:r>
    </w:p>
    <w:p w:rsidR="000260CD" w:rsidRDefault="000260CD" w:rsidP="000260CD">
      <w:pPr>
        <w:pStyle w:val="Beschriftung"/>
        <w:keepNext/>
        <w:ind w:left="1416" w:firstLine="564"/>
        <w:jc w:val="center"/>
      </w:pPr>
      <w:r>
        <w:t xml:space="preserve">Tabelle </w:t>
      </w:r>
      <w:fldSimple w:instr=" SEQ Tabelle \* ARABIC ">
        <w:r>
          <w:rPr>
            <w:noProof/>
          </w:rPr>
          <w:t>1</w:t>
        </w:r>
      </w:fldSimple>
      <w:r>
        <w:t xml:space="preserve">: </w:t>
      </w:r>
      <w:proofErr w:type="spellStart"/>
      <w:r>
        <w:t>Messergebnisse</w:t>
      </w:r>
      <w:proofErr w:type="spellEnd"/>
      <w:r>
        <w:t xml:space="preserve"> zur Messung der Reaktionszeit bei verschiedenen Salzsäureko</w:t>
      </w:r>
      <w:r>
        <w:t>n</w:t>
      </w:r>
      <w:r>
        <w:t>zentrationen.</w:t>
      </w:r>
    </w:p>
    <w:tbl>
      <w:tblPr>
        <w:tblStyle w:val="Tabellengitternetz"/>
        <w:tblW w:w="0" w:type="auto"/>
        <w:tblInd w:w="2235" w:type="dxa"/>
        <w:tblLook w:val="04A0"/>
      </w:tblPr>
      <w:tblGrid>
        <w:gridCol w:w="2208"/>
        <w:gridCol w:w="2452"/>
        <w:gridCol w:w="2393"/>
      </w:tblGrid>
      <w:tr w:rsidR="000260CD" w:rsidTr="005A17F9">
        <w:tc>
          <w:tcPr>
            <w:tcW w:w="2208" w:type="dxa"/>
          </w:tcPr>
          <w:p w:rsidR="000260CD" w:rsidRPr="00CF44CD" w:rsidRDefault="000260CD" w:rsidP="005A17F9">
            <w:pPr>
              <w:tabs>
                <w:tab w:val="left" w:pos="1701"/>
                <w:tab w:val="left" w:pos="1985"/>
              </w:tabs>
              <w:jc w:val="center"/>
              <w:rPr>
                <w:b/>
              </w:rPr>
            </w:pPr>
            <w:r w:rsidRPr="00CF44CD">
              <w:rPr>
                <w:b/>
              </w:rPr>
              <w:t>V(Salzsäure) [</w:t>
            </w:r>
            <w:proofErr w:type="spellStart"/>
            <w:r w:rsidRPr="00CF44CD">
              <w:rPr>
                <w:b/>
              </w:rPr>
              <w:t>mL</w:t>
            </w:r>
            <w:proofErr w:type="spellEnd"/>
            <w:r w:rsidRPr="00CF44CD">
              <w:rPr>
                <w:b/>
              </w:rPr>
              <w:t>]</w:t>
            </w:r>
          </w:p>
        </w:tc>
        <w:tc>
          <w:tcPr>
            <w:tcW w:w="2452" w:type="dxa"/>
          </w:tcPr>
          <w:p w:rsidR="000260CD" w:rsidRPr="00CF44CD" w:rsidRDefault="000260CD" w:rsidP="005A17F9">
            <w:pPr>
              <w:tabs>
                <w:tab w:val="left" w:pos="1701"/>
                <w:tab w:val="left" w:pos="1985"/>
              </w:tabs>
              <w:jc w:val="center"/>
              <w:rPr>
                <w:b/>
              </w:rPr>
            </w:pPr>
            <w:r w:rsidRPr="00CF44CD">
              <w:rPr>
                <w:b/>
              </w:rPr>
              <w:t>c(Salzsäure) [</w:t>
            </w:r>
            <w:proofErr w:type="spellStart"/>
            <w:r w:rsidRPr="00CF44CD">
              <w:rPr>
                <w:b/>
              </w:rPr>
              <w:t>mol</w:t>
            </w:r>
            <w:proofErr w:type="spellEnd"/>
            <w:r w:rsidRPr="00CF44CD">
              <w:rPr>
                <w:b/>
              </w:rPr>
              <w:t>/L]</w:t>
            </w:r>
          </w:p>
        </w:tc>
        <w:tc>
          <w:tcPr>
            <w:tcW w:w="2393" w:type="dxa"/>
          </w:tcPr>
          <w:p w:rsidR="000260CD" w:rsidRPr="00CF44CD" w:rsidRDefault="000260CD" w:rsidP="005A17F9">
            <w:pPr>
              <w:tabs>
                <w:tab w:val="left" w:pos="1701"/>
                <w:tab w:val="left" w:pos="1985"/>
              </w:tabs>
              <w:jc w:val="center"/>
              <w:rPr>
                <w:b/>
              </w:rPr>
            </w:pPr>
            <w:r w:rsidRPr="00CF44CD">
              <w:rPr>
                <w:b/>
              </w:rPr>
              <w:t xml:space="preserve">Zeit t [sec] bis V(Gas)=10 </w:t>
            </w:r>
            <w:proofErr w:type="spellStart"/>
            <w:r w:rsidRPr="00CF44CD">
              <w:rPr>
                <w:b/>
              </w:rPr>
              <w:t>mL</w:t>
            </w:r>
            <w:proofErr w:type="spellEnd"/>
          </w:p>
        </w:tc>
      </w:tr>
      <w:tr w:rsidR="000260CD" w:rsidTr="005A17F9">
        <w:tc>
          <w:tcPr>
            <w:tcW w:w="2208" w:type="dxa"/>
          </w:tcPr>
          <w:p w:rsidR="000260CD" w:rsidRDefault="000260CD" w:rsidP="005A17F9">
            <w:pPr>
              <w:tabs>
                <w:tab w:val="left" w:pos="1701"/>
                <w:tab w:val="left" w:pos="1985"/>
              </w:tabs>
              <w:jc w:val="center"/>
            </w:pPr>
            <w:r>
              <w:t>3</w:t>
            </w:r>
          </w:p>
        </w:tc>
        <w:tc>
          <w:tcPr>
            <w:tcW w:w="2452" w:type="dxa"/>
          </w:tcPr>
          <w:p w:rsidR="000260CD" w:rsidRDefault="000260CD" w:rsidP="005A17F9">
            <w:pPr>
              <w:tabs>
                <w:tab w:val="left" w:pos="1701"/>
                <w:tab w:val="left" w:pos="1985"/>
              </w:tabs>
              <w:jc w:val="center"/>
            </w:pPr>
            <w:r>
              <w:t>0,1</w:t>
            </w:r>
          </w:p>
        </w:tc>
        <w:tc>
          <w:tcPr>
            <w:tcW w:w="2393" w:type="dxa"/>
          </w:tcPr>
          <w:p w:rsidR="000260CD" w:rsidRDefault="000260CD" w:rsidP="005A17F9">
            <w:pPr>
              <w:tabs>
                <w:tab w:val="left" w:pos="1701"/>
                <w:tab w:val="left" w:pos="1985"/>
              </w:tabs>
              <w:jc w:val="center"/>
            </w:pPr>
            <w:r>
              <w:t>4,3</w:t>
            </w:r>
          </w:p>
        </w:tc>
      </w:tr>
      <w:tr w:rsidR="000260CD" w:rsidTr="005A17F9">
        <w:tc>
          <w:tcPr>
            <w:tcW w:w="2208" w:type="dxa"/>
          </w:tcPr>
          <w:p w:rsidR="000260CD" w:rsidRDefault="000260CD" w:rsidP="005A17F9">
            <w:pPr>
              <w:tabs>
                <w:tab w:val="left" w:pos="1701"/>
                <w:tab w:val="left" w:pos="1985"/>
              </w:tabs>
              <w:jc w:val="center"/>
            </w:pPr>
            <w:r>
              <w:t>3</w:t>
            </w:r>
          </w:p>
        </w:tc>
        <w:tc>
          <w:tcPr>
            <w:tcW w:w="2452" w:type="dxa"/>
          </w:tcPr>
          <w:p w:rsidR="000260CD" w:rsidRDefault="000260CD" w:rsidP="005A17F9">
            <w:pPr>
              <w:tabs>
                <w:tab w:val="left" w:pos="1701"/>
                <w:tab w:val="left" w:pos="1985"/>
              </w:tabs>
              <w:jc w:val="center"/>
            </w:pPr>
            <w:r>
              <w:t>1</w:t>
            </w:r>
          </w:p>
        </w:tc>
        <w:tc>
          <w:tcPr>
            <w:tcW w:w="2393" w:type="dxa"/>
          </w:tcPr>
          <w:p w:rsidR="000260CD" w:rsidRDefault="000260CD" w:rsidP="005A17F9">
            <w:pPr>
              <w:tabs>
                <w:tab w:val="left" w:pos="1701"/>
                <w:tab w:val="left" w:pos="1985"/>
              </w:tabs>
              <w:jc w:val="center"/>
            </w:pPr>
            <w:r>
              <w:t>1,2</w:t>
            </w:r>
          </w:p>
        </w:tc>
      </w:tr>
      <w:tr w:rsidR="000260CD" w:rsidTr="005A17F9">
        <w:tc>
          <w:tcPr>
            <w:tcW w:w="2208" w:type="dxa"/>
          </w:tcPr>
          <w:p w:rsidR="000260CD" w:rsidRDefault="000260CD" w:rsidP="005A17F9">
            <w:pPr>
              <w:tabs>
                <w:tab w:val="left" w:pos="1701"/>
                <w:tab w:val="left" w:pos="1985"/>
              </w:tabs>
              <w:jc w:val="center"/>
            </w:pPr>
            <w:r>
              <w:t>3</w:t>
            </w:r>
          </w:p>
        </w:tc>
        <w:tc>
          <w:tcPr>
            <w:tcW w:w="2452" w:type="dxa"/>
          </w:tcPr>
          <w:p w:rsidR="000260CD" w:rsidRDefault="000260CD" w:rsidP="005A17F9">
            <w:pPr>
              <w:tabs>
                <w:tab w:val="left" w:pos="1701"/>
                <w:tab w:val="left" w:pos="1985"/>
              </w:tabs>
              <w:jc w:val="center"/>
            </w:pPr>
            <w:r>
              <w:t>2</w:t>
            </w:r>
          </w:p>
        </w:tc>
        <w:tc>
          <w:tcPr>
            <w:tcW w:w="2393" w:type="dxa"/>
          </w:tcPr>
          <w:p w:rsidR="000260CD" w:rsidRDefault="000260CD" w:rsidP="005A17F9">
            <w:pPr>
              <w:tabs>
                <w:tab w:val="left" w:pos="1701"/>
                <w:tab w:val="left" w:pos="1985"/>
              </w:tabs>
              <w:jc w:val="center"/>
            </w:pPr>
            <w:r>
              <w:t>0,49</w:t>
            </w:r>
          </w:p>
        </w:tc>
      </w:tr>
    </w:tbl>
    <w:p w:rsidR="000260CD" w:rsidRPr="005B7219" w:rsidRDefault="000260CD" w:rsidP="000260CD"/>
    <w:p w:rsidR="000260CD" w:rsidRDefault="000260CD" w:rsidP="000260CD">
      <w:pPr>
        <w:tabs>
          <w:tab w:val="left" w:pos="1701"/>
          <w:tab w:val="left" w:pos="1985"/>
        </w:tabs>
        <w:ind w:left="2124" w:hanging="2124"/>
      </w:pPr>
      <w:r>
        <w:t>Deutung:</w:t>
      </w:r>
      <w:r>
        <w:tab/>
      </w:r>
      <w:r>
        <w:tab/>
      </w:r>
      <w:r>
        <w:tab/>
        <w:t>Nach Zugabe der Salzsäure auf das Magnesiumpulver läuft folgende Rea</w:t>
      </w:r>
      <w:r>
        <w:t>k</w:t>
      </w:r>
      <w:r>
        <w:t>tion ab:</w:t>
      </w:r>
    </w:p>
    <w:p w:rsidR="000260CD" w:rsidRPr="00193903" w:rsidRDefault="000260CD" w:rsidP="000260CD">
      <w:pPr>
        <w:tabs>
          <w:tab w:val="left" w:pos="1701"/>
          <w:tab w:val="left" w:pos="1985"/>
        </w:tabs>
        <w:ind w:left="2124" w:hanging="2124"/>
        <w:rPr>
          <w:lang w:val="en-US"/>
        </w:rPr>
      </w:pPr>
      <w:r>
        <w:tab/>
      </w:r>
      <w:r>
        <w:tab/>
      </w:r>
      <w:r>
        <w:tab/>
      </w:r>
      <w:r w:rsidRPr="00193903">
        <w:rPr>
          <w:lang w:val="en-US"/>
        </w:rPr>
        <w:t>2 H</w:t>
      </w:r>
      <w:proofErr w:type="gramStart"/>
      <w:r w:rsidRPr="00193903">
        <w:rPr>
          <w:vertAlign w:val="superscript"/>
          <w:lang w:val="en-US"/>
        </w:rPr>
        <w:t>+</w:t>
      </w:r>
      <w:r w:rsidRPr="00193903">
        <w:rPr>
          <w:vertAlign w:val="subscript"/>
          <w:lang w:val="en-US"/>
        </w:rPr>
        <w:t>(</w:t>
      </w:r>
      <w:proofErr w:type="spellStart"/>
      <w:proofErr w:type="gramEnd"/>
      <w:r w:rsidRPr="00193903">
        <w:rPr>
          <w:vertAlign w:val="subscript"/>
          <w:lang w:val="en-US"/>
        </w:rPr>
        <w:t>aq</w:t>
      </w:r>
      <w:proofErr w:type="spellEnd"/>
      <w:r w:rsidRPr="00193903">
        <w:rPr>
          <w:vertAlign w:val="subscript"/>
          <w:lang w:val="en-US"/>
        </w:rPr>
        <w:t xml:space="preserve">) </w:t>
      </w:r>
      <w:r w:rsidRPr="00193903">
        <w:rPr>
          <w:lang w:val="en-US"/>
        </w:rPr>
        <w:t xml:space="preserve">+ </w:t>
      </w:r>
      <w:proofErr w:type="spellStart"/>
      <w:r w:rsidRPr="00193903">
        <w:rPr>
          <w:lang w:val="en-US"/>
        </w:rPr>
        <w:t>Cl</w:t>
      </w:r>
      <w:proofErr w:type="spellEnd"/>
      <w:r w:rsidRPr="00193903">
        <w:rPr>
          <w:vertAlign w:val="superscript"/>
          <w:lang w:val="en-US"/>
        </w:rPr>
        <w:t>-</w:t>
      </w:r>
      <w:r w:rsidRPr="00193903">
        <w:rPr>
          <w:vertAlign w:val="subscript"/>
          <w:lang w:val="en-US"/>
        </w:rPr>
        <w:t>(</w:t>
      </w:r>
      <w:proofErr w:type="spellStart"/>
      <w:r w:rsidRPr="00193903">
        <w:rPr>
          <w:vertAlign w:val="subscript"/>
          <w:lang w:val="en-US"/>
        </w:rPr>
        <w:t>aq</w:t>
      </w:r>
      <w:proofErr w:type="spellEnd"/>
      <w:r w:rsidRPr="00193903">
        <w:rPr>
          <w:vertAlign w:val="subscript"/>
          <w:lang w:val="en-US"/>
        </w:rPr>
        <w:t xml:space="preserve">) </w:t>
      </w:r>
      <w:r w:rsidRPr="00193903">
        <w:rPr>
          <w:lang w:val="en-US"/>
        </w:rPr>
        <w:t>+ Mg</w:t>
      </w:r>
      <w:r w:rsidRPr="00193903">
        <w:rPr>
          <w:vertAlign w:val="subscript"/>
          <w:lang w:val="en-US"/>
        </w:rPr>
        <w:t xml:space="preserve">(s) </w:t>
      </w:r>
      <w:r w:rsidRPr="00596FDA">
        <w:sym w:font="Wingdings" w:char="00E0"/>
      </w:r>
      <w:r w:rsidRPr="00193903">
        <w:rPr>
          <w:lang w:val="en-US"/>
        </w:rPr>
        <w:t xml:space="preserve"> H</w:t>
      </w:r>
      <w:r w:rsidRPr="00193903">
        <w:rPr>
          <w:vertAlign w:val="subscript"/>
          <w:lang w:val="en-US"/>
        </w:rPr>
        <w:t>2(g)</w:t>
      </w:r>
      <w:r w:rsidRPr="00193903">
        <w:rPr>
          <w:lang w:val="en-US"/>
        </w:rPr>
        <w:t xml:space="preserve"> + Mg</w:t>
      </w:r>
      <w:r w:rsidRPr="00193903">
        <w:rPr>
          <w:vertAlign w:val="superscript"/>
          <w:lang w:val="en-US"/>
        </w:rPr>
        <w:t>2+</w:t>
      </w:r>
      <w:r w:rsidRPr="00193903">
        <w:rPr>
          <w:vertAlign w:val="subscript"/>
          <w:lang w:val="en-US"/>
        </w:rPr>
        <w:t>(</w:t>
      </w:r>
      <w:proofErr w:type="spellStart"/>
      <w:r w:rsidRPr="00193903">
        <w:rPr>
          <w:vertAlign w:val="subscript"/>
          <w:lang w:val="en-US"/>
        </w:rPr>
        <w:t>aq</w:t>
      </w:r>
      <w:proofErr w:type="spellEnd"/>
      <w:r w:rsidRPr="00193903">
        <w:rPr>
          <w:vertAlign w:val="subscript"/>
          <w:lang w:val="en-US"/>
        </w:rPr>
        <w:t xml:space="preserve">) </w:t>
      </w:r>
      <w:r w:rsidRPr="00193903">
        <w:rPr>
          <w:lang w:val="en-US"/>
        </w:rPr>
        <w:t xml:space="preserve">+ </w:t>
      </w:r>
      <w:proofErr w:type="spellStart"/>
      <w:r w:rsidRPr="00193903">
        <w:rPr>
          <w:lang w:val="en-US"/>
        </w:rPr>
        <w:t>Cl</w:t>
      </w:r>
      <w:proofErr w:type="spellEnd"/>
      <w:r w:rsidRPr="00193903">
        <w:rPr>
          <w:vertAlign w:val="superscript"/>
          <w:lang w:val="en-US"/>
        </w:rPr>
        <w:t>-</w:t>
      </w:r>
      <w:r w:rsidRPr="00193903">
        <w:rPr>
          <w:vertAlign w:val="subscript"/>
          <w:lang w:val="en-US"/>
        </w:rPr>
        <w:t>(</w:t>
      </w:r>
      <w:proofErr w:type="spellStart"/>
      <w:r w:rsidRPr="00193903">
        <w:rPr>
          <w:vertAlign w:val="subscript"/>
          <w:lang w:val="en-US"/>
        </w:rPr>
        <w:t>aq</w:t>
      </w:r>
      <w:proofErr w:type="spellEnd"/>
      <w:r w:rsidRPr="00193903">
        <w:rPr>
          <w:vertAlign w:val="subscript"/>
          <w:lang w:val="en-US"/>
        </w:rPr>
        <w:t xml:space="preserve">) </w:t>
      </w:r>
    </w:p>
    <w:p w:rsidR="000260CD" w:rsidRDefault="000260CD" w:rsidP="000260CD">
      <w:pPr>
        <w:tabs>
          <w:tab w:val="left" w:pos="1701"/>
          <w:tab w:val="left" w:pos="1985"/>
        </w:tabs>
        <w:ind w:left="2124" w:hanging="2124"/>
      </w:pPr>
      <w:r w:rsidRPr="00193903">
        <w:rPr>
          <w:lang w:val="en-US"/>
        </w:rPr>
        <w:tab/>
      </w:r>
      <w:r w:rsidRPr="00193903">
        <w:rPr>
          <w:lang w:val="en-US"/>
        </w:rPr>
        <w:tab/>
      </w:r>
      <w:r w:rsidRPr="00193903">
        <w:rPr>
          <w:lang w:val="en-US"/>
        </w:rPr>
        <w:tab/>
      </w:r>
      <w:r>
        <w:t>Da nun letztendlich die Reaktionsgeschwindigkeit der Reaktion berechnet werden soll, muss zunächst die Stoffmenge des entstehenden Wasse</w:t>
      </w:r>
      <w:r>
        <w:t>r</w:t>
      </w:r>
      <w:r>
        <w:t xml:space="preserve">stoffs berechnet werden. Dazu wird das ideale  Gasgesetz verwendet, bei dem vom Standarddruck (1 bar </w:t>
      </w:r>
      <w:proofErr w:type="gramStart"/>
      <w:r>
        <w:t xml:space="preserve">= </w:t>
      </w:r>
      <m:oMath>
        <w:proofErr w:type="gramEnd"/>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f>
          <m:fPr>
            <m:ctrlPr>
              <w:rPr>
                <w:rFonts w:ascii="Cambria Math" w:hAnsi="Cambria Math"/>
              </w:rPr>
            </m:ctrlPr>
          </m:fPr>
          <m:num>
            <m:r>
              <m:rPr>
                <m:sty m:val="p"/>
              </m:rPr>
              <w:rPr>
                <w:rFonts w:ascii="Cambria Math" w:hAnsi="Cambria Math"/>
              </w:rPr>
              <m:t>kg</m:t>
            </m:r>
          </m:num>
          <m:den>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oMath>
      <w:r>
        <w:rPr>
          <w:rFonts w:eastAsiaTheme="minorEastAsia"/>
        </w:rPr>
        <w:t>) und einer Temperatur von 25°C (298 K) ausgegangen wird:</w:t>
      </w:r>
    </w:p>
    <w:p w:rsidR="000260CD" w:rsidRDefault="000260CD" w:rsidP="000260CD">
      <w:pPr>
        <w:rPr>
          <w:rFonts w:eastAsiaTheme="minorEastAsia"/>
        </w:rPr>
      </w:pPr>
      <w:r>
        <w:rPr>
          <w:rFonts w:eastAsiaTheme="minorEastAsia"/>
        </w:rPr>
        <w:lastRenderedPageBreak/>
        <w:tab/>
      </w:r>
      <w:r>
        <w:rPr>
          <w:rFonts w:eastAsiaTheme="minorEastAsia"/>
        </w:rPr>
        <w:tab/>
      </w:r>
      <w:r>
        <w:rPr>
          <w:rFonts w:eastAsiaTheme="minorEastAsia"/>
        </w:rPr>
        <w:tab/>
      </w:r>
      <m:oMath>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r>
          <m:rPr>
            <m:sty m:val="p"/>
          </m:rPr>
          <w:rPr>
            <w:rFonts w:ascii="Cambria Math" w:hAnsi="Cambria Math"/>
          </w:rPr>
          <m:t>=</m:t>
        </m:r>
        <m:f>
          <m:fPr>
            <m:ctrlPr>
              <w:rPr>
                <w:rFonts w:ascii="Cambria Math" w:hAnsi="Cambria Math"/>
              </w:rPr>
            </m:ctrlPr>
          </m:fPr>
          <m:num>
            <m:r>
              <m:rPr>
                <m:sty m:val="p"/>
              </m:rPr>
              <w:rPr>
                <w:rFonts w:ascii="Cambria Math" w:hAnsi="Cambria Math"/>
              </w:rPr>
              <m:t>p∙V</m:t>
            </m:r>
          </m:num>
          <m:den>
            <m:r>
              <m:rPr>
                <m:sty m:val="p"/>
              </m:rPr>
              <w:rPr>
                <w:rFonts w:ascii="Cambria Math" w:hAnsi="Cambria Math"/>
              </w:rPr>
              <m:t>R∙T</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f>
              <m:fPr>
                <m:ctrlPr>
                  <w:rPr>
                    <w:rFonts w:ascii="Cambria Math" w:hAnsi="Cambria Math"/>
                  </w:rPr>
                </m:ctrlPr>
              </m:fPr>
              <m:num>
                <m:r>
                  <m:rPr>
                    <m:sty m:val="p"/>
                  </m:rPr>
                  <w:rPr>
                    <w:rFonts w:ascii="Cambria Math" w:hAnsi="Cambria Math"/>
                  </w:rPr>
                  <m:t>kg</m:t>
                </m:r>
              </m:num>
              <m:den>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num>
          <m:den>
            <m:r>
              <m:rPr>
                <m:sty m:val="p"/>
              </m:rPr>
              <w:rPr>
                <w:rFonts w:ascii="Cambria Math" w:hAnsi="Cambria Math"/>
              </w:rPr>
              <m:t>8,314</m:t>
            </m:r>
            <m:f>
              <m:fPr>
                <m:ctrlPr>
                  <w:rPr>
                    <w:rFonts w:ascii="Cambria Math" w:hAnsi="Cambria Math"/>
                  </w:rPr>
                </m:ctrlPr>
              </m:fPr>
              <m:num>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∙mol</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∙K</m:t>
                </m:r>
              </m:den>
            </m:f>
            <m:r>
              <m:rPr>
                <m:sty m:val="p"/>
              </m:rPr>
              <w:rPr>
                <w:rFonts w:ascii="Cambria Math" w:hAnsi="Cambria Math"/>
              </w:rPr>
              <m:t>∙298K</m:t>
            </m:r>
          </m:den>
        </m:f>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mol</m:t>
        </m:r>
      </m:oMath>
    </w:p>
    <w:p w:rsidR="000260CD" w:rsidRDefault="000260CD" w:rsidP="000260CD">
      <w:pPr>
        <w:tabs>
          <w:tab w:val="left" w:pos="1701"/>
          <w:tab w:val="left" w:pos="1985"/>
        </w:tabs>
        <w:ind w:left="2124" w:hanging="2124"/>
        <w:rPr>
          <w:rFonts w:eastAsiaTheme="minorEastAsia"/>
        </w:rPr>
      </w:pPr>
      <w:r>
        <w:tab/>
      </w:r>
      <w:r>
        <w:tab/>
      </w:r>
      <w:r>
        <w:tab/>
        <w:t xml:space="preserve">Anschließend kann über die Formel </w:t>
      </w:r>
      <m:oMath>
        <m:r>
          <m:rPr>
            <m:sty m:val="p"/>
          </m:rPr>
          <w:rPr>
            <w:rFonts w:ascii="Cambria Math" w:hAnsi="Cambria Math"/>
          </w:rPr>
          <m:t>c=</m:t>
        </m:r>
        <m:f>
          <m:fPr>
            <m:ctrlPr>
              <w:rPr>
                <w:rFonts w:ascii="Cambria Math" w:hAnsi="Cambria Math"/>
              </w:rPr>
            </m:ctrlPr>
          </m:fPr>
          <m:num>
            <m:r>
              <m:rPr>
                <m:sty m:val="p"/>
              </m:rPr>
              <w:rPr>
                <w:rFonts w:ascii="Cambria Math" w:hAnsi="Cambria Math"/>
              </w:rPr>
              <m:t>n</m:t>
            </m:r>
          </m:num>
          <m:den>
            <m:r>
              <m:rPr>
                <m:sty m:val="p"/>
              </m:rPr>
              <w:rPr>
                <w:rFonts w:ascii="Cambria Math" w:hAnsi="Cambria Math"/>
              </w:rPr>
              <m:t>V</m:t>
            </m:r>
          </m:den>
        </m:f>
      </m:oMath>
      <w:r>
        <w:rPr>
          <w:rFonts w:eastAsiaTheme="minorEastAsia"/>
        </w:rPr>
        <w:t xml:space="preserve"> die Konzentration der Protonen (H</w:t>
      </w:r>
      <w:r>
        <w:rPr>
          <w:rFonts w:eastAsiaTheme="minorEastAsia"/>
          <w:vertAlign w:val="superscript"/>
        </w:rPr>
        <w:t>+</w:t>
      </w:r>
      <w:r>
        <w:rPr>
          <w:rFonts w:eastAsiaTheme="minorEastAsia"/>
        </w:rPr>
        <w:t>-Ionen) errechnet werden. Dabei wird die Stoffmenge des entstehe</w:t>
      </w:r>
      <w:r>
        <w:rPr>
          <w:rFonts w:eastAsiaTheme="minorEastAsia"/>
        </w:rPr>
        <w:t>n</w:t>
      </w:r>
      <w:r>
        <w:rPr>
          <w:rFonts w:eastAsiaTheme="minorEastAsia"/>
        </w:rPr>
        <w:t>den Wasserstoffs mal zwei gerechnet, da doppelt so viele H</w:t>
      </w:r>
      <w:r>
        <w:rPr>
          <w:rFonts w:eastAsiaTheme="minorEastAsia"/>
          <w:vertAlign w:val="superscript"/>
        </w:rPr>
        <w:t>+</w:t>
      </w:r>
      <w:r>
        <w:rPr>
          <w:rFonts w:eastAsiaTheme="minorEastAsia"/>
        </w:rPr>
        <w:t>-Ionen ben</w:t>
      </w:r>
      <w:r>
        <w:rPr>
          <w:rFonts w:eastAsiaTheme="minorEastAsia"/>
        </w:rPr>
        <w:t>ö</w:t>
      </w:r>
      <w:r>
        <w:rPr>
          <w:rFonts w:eastAsiaTheme="minorEastAsia"/>
        </w:rPr>
        <w:t>tigt werden, um ein Wasserstoffmolekül zu synthetisieren:</w:t>
      </w:r>
    </w:p>
    <w:p w:rsidR="000260CD" w:rsidRDefault="000260CD" w:rsidP="000260CD">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r>
          <m:rPr>
            <m:sty m:val="p"/>
          </m:rPr>
          <w:rPr>
            <w:rFonts w:ascii="Cambria Math" w:hAnsi="Cambria Math"/>
          </w:rPr>
          <m:t>c</m:t>
        </m:r>
        <m:d>
          <m:dPr>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r>
          <m:rPr>
            <m:sty m:val="p"/>
          </m:rPr>
          <w:rPr>
            <w:rFonts w:ascii="Cambria Math" w:hAnsi="Cambria Math"/>
          </w:rPr>
          <m:t>=</m:t>
        </m:r>
        <m:f>
          <m:fPr>
            <m:ctrlPr>
              <w:rPr>
                <w:rFonts w:ascii="Cambria Math" w:hAnsi="Cambria Math"/>
              </w:rPr>
            </m:ctrlPr>
          </m:fPr>
          <m:num>
            <m:r>
              <m:rPr>
                <m:sty m:val="p"/>
              </m:rPr>
              <w:rPr>
                <w:rFonts w:ascii="Cambria Math" w:hAnsi="Cambria Math"/>
              </w:rPr>
              <m:t>2∙n(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num>
          <m:den>
            <m:r>
              <m:rPr>
                <m:sty m:val="p"/>
              </m:rPr>
              <w:rPr>
                <w:rFonts w:ascii="Cambria Math" w:hAnsi="Cambria Math"/>
              </w:rPr>
              <m:t>V(HCl)</m:t>
            </m:r>
          </m:den>
        </m:f>
        <m:r>
          <m:rPr>
            <m:sty m:val="p"/>
          </m:rPr>
          <w:rPr>
            <w:rFonts w:ascii="Cambria Math" w:hAnsi="Cambria Math"/>
          </w:rPr>
          <m:t>=</m:t>
        </m:r>
        <m:f>
          <m:fPr>
            <m:ctrlPr>
              <w:rPr>
                <w:rFonts w:ascii="Cambria Math" w:hAnsi="Cambria Math"/>
              </w:rPr>
            </m:ctrlPr>
          </m:fPr>
          <m:num>
            <m:r>
              <m:rPr>
                <m:sty m:val="p"/>
              </m:rPr>
              <w:rPr>
                <w:rFonts w:ascii="Cambria Math" w:hAnsi="Cambria Math"/>
              </w:rPr>
              <m:t>2∙4∙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mol</m:t>
            </m:r>
          </m:num>
          <m:den>
            <m:r>
              <m:rPr>
                <m:sty m:val="p"/>
              </m:rPr>
              <w:rPr>
                <w:rFonts w:ascii="Cambria Math" w:hAnsi="Cambria Math"/>
              </w:rPr>
              <m:t>0,003 L</m:t>
            </m:r>
          </m:den>
        </m:f>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p>
    <w:p w:rsidR="000260CD" w:rsidRDefault="000260CD" w:rsidP="000260CD">
      <w:pPr>
        <w:tabs>
          <w:tab w:val="left" w:pos="1701"/>
          <w:tab w:val="left" w:pos="1985"/>
        </w:tabs>
        <w:ind w:left="2124"/>
        <w:rPr>
          <w:rFonts w:eastAsiaTheme="minorEastAsia"/>
        </w:rPr>
      </w:pPr>
      <w:r>
        <w:rPr>
          <w:rFonts w:eastAsiaTheme="minorEastAsia"/>
        </w:rPr>
        <w:t>Nun kann über den Zusammenhang</w:t>
      </w:r>
      <w:r w:rsidRPr="00AA3661">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r</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∆c</m:t>
            </m:r>
          </m:num>
          <m:den>
            <m:r>
              <m:rPr>
                <m:sty m:val="p"/>
              </m:rPr>
              <w:rPr>
                <w:rFonts w:ascii="Cambria Math" w:eastAsiaTheme="minorEastAsia" w:hAnsi="Cambria Math"/>
              </w:rPr>
              <m:t>∆t</m:t>
            </m:r>
          </m:den>
        </m:f>
      </m:oMath>
      <w:r>
        <w:rPr>
          <w:rFonts w:eastAsiaTheme="minorEastAsia"/>
        </w:rPr>
        <w:t xml:space="preserve"> die Reaktionszeit v</w:t>
      </w:r>
      <w:r>
        <w:rPr>
          <w:rFonts w:eastAsiaTheme="minorEastAsia"/>
          <w:vertAlign w:val="subscript"/>
        </w:rPr>
        <w:t>r</w:t>
      </w:r>
      <w:r>
        <w:rPr>
          <w:rFonts w:eastAsiaTheme="minorEastAsia"/>
        </w:rPr>
        <w:t xml:space="preserve"> für alle drei Salzsäurekonzentrationen berechnet werden:</w:t>
      </w:r>
    </w:p>
    <w:p w:rsidR="000260CD" w:rsidRDefault="000260CD" w:rsidP="000260CD">
      <w:pPr>
        <w:tabs>
          <w:tab w:val="left" w:pos="1701"/>
          <w:tab w:val="left" w:pos="1985"/>
        </w:tabs>
        <w:rPr>
          <w:rFonts w:eastAsiaTheme="minorEastAsia"/>
        </w:rPr>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r1</m:t>
              </m:r>
            </m:sub>
          </m:sSub>
          <m:r>
            <m:rPr>
              <m:sty m:val="p"/>
            </m:rPr>
            <w:rPr>
              <w:rFonts w:ascii="Cambria Math" w:hAnsi="Cambria Math"/>
            </w:rPr>
            <m:t>=</m:t>
          </m:r>
          <m:f>
            <m:fPr>
              <m:ctrlPr>
                <w:rPr>
                  <w:rFonts w:ascii="Cambria Math" w:hAnsi="Cambria Math"/>
                </w:rPr>
              </m:ctrlPr>
            </m:fPr>
            <m:num>
              <m:r>
                <m:rPr>
                  <m:sty m:val="p"/>
                </m:rPr>
                <w:rPr>
                  <w:rFonts w:ascii="Cambria Math" w:hAnsi="Cambria Math"/>
                </w:rPr>
                <m:t>c(</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num>
            <m:den>
              <m:r>
                <m:rPr>
                  <m:sty m:val="p"/>
                </m:rPr>
                <w:rPr>
                  <w:rFonts w:ascii="Cambria Math" w:hAnsi="Cambria Math"/>
                </w:rPr>
                <m:t>4,3 sec</m:t>
              </m:r>
            </m:den>
          </m:f>
          <m:r>
            <m:rPr>
              <m:sty m:val="p"/>
            </m:rPr>
            <w:rPr>
              <w:rFonts w:ascii="Cambria Math" w:hAnsi="Cambria Math"/>
            </w:rPr>
            <m:t>=0,062</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L∙sec</m:t>
              </m:r>
            </m:den>
          </m:f>
        </m:oMath>
      </m:oMathPara>
    </w:p>
    <w:p w:rsidR="000260CD" w:rsidRDefault="000260CD" w:rsidP="000260CD">
      <w:pPr>
        <w:tabs>
          <w:tab w:val="left" w:pos="1701"/>
          <w:tab w:val="left" w:pos="1985"/>
        </w:tabs>
        <w:rPr>
          <w:rFonts w:eastAsiaTheme="minorEastAsia"/>
        </w:rPr>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r2</m:t>
              </m:r>
            </m:sub>
          </m:sSub>
          <m:r>
            <m:rPr>
              <m:sty m:val="p"/>
            </m:rPr>
            <w:rPr>
              <w:rFonts w:ascii="Cambria Math" w:hAnsi="Cambria Math"/>
            </w:rPr>
            <m:t>=</m:t>
          </m:r>
          <m:f>
            <m:fPr>
              <m:ctrlPr>
                <w:rPr>
                  <w:rFonts w:ascii="Cambria Math" w:hAnsi="Cambria Math"/>
                </w:rPr>
              </m:ctrlPr>
            </m:fPr>
            <m:num>
              <m:r>
                <m:rPr>
                  <m:sty m:val="p"/>
                </m:rPr>
                <w:rPr>
                  <w:rFonts w:ascii="Cambria Math" w:hAnsi="Cambria Math"/>
                </w:rPr>
                <m:t>c(</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num>
            <m:den>
              <m:r>
                <m:rPr>
                  <m:sty m:val="p"/>
                </m:rPr>
                <w:rPr>
                  <w:rFonts w:ascii="Cambria Math" w:hAnsi="Cambria Math"/>
                </w:rPr>
                <m:t>1,2 sec</m:t>
              </m:r>
            </m:den>
          </m:f>
          <m:r>
            <m:rPr>
              <m:sty m:val="p"/>
            </m:rPr>
            <w:rPr>
              <w:rFonts w:ascii="Cambria Math" w:hAnsi="Cambria Math"/>
            </w:rPr>
            <m:t>=0,223</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L∙sec</m:t>
              </m:r>
            </m:den>
          </m:f>
        </m:oMath>
      </m:oMathPara>
    </w:p>
    <w:p w:rsidR="000260CD" w:rsidRDefault="000260CD" w:rsidP="000260CD">
      <w:pPr>
        <w:tabs>
          <w:tab w:val="left" w:pos="1701"/>
          <w:tab w:val="left" w:pos="1985"/>
        </w:tabs>
        <w:rPr>
          <w:rFonts w:eastAsiaTheme="minorEastAsia"/>
        </w:rPr>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r3</m:t>
              </m:r>
            </m:sub>
          </m:sSub>
          <m:r>
            <m:rPr>
              <m:sty m:val="p"/>
            </m:rPr>
            <w:rPr>
              <w:rFonts w:ascii="Cambria Math" w:hAnsi="Cambria Math"/>
            </w:rPr>
            <m:t>=</m:t>
          </m:r>
          <m:f>
            <m:fPr>
              <m:ctrlPr>
                <w:rPr>
                  <w:rFonts w:ascii="Cambria Math" w:hAnsi="Cambria Math"/>
                </w:rPr>
              </m:ctrlPr>
            </m:fPr>
            <m:num>
              <m:r>
                <m:rPr>
                  <m:sty m:val="p"/>
                </m:rPr>
                <w:rPr>
                  <w:rFonts w:ascii="Cambria Math" w:hAnsi="Cambria Math"/>
                </w:rPr>
                <m:t>c(</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num>
            <m:den>
              <m:r>
                <m:rPr>
                  <m:sty m:val="p"/>
                </m:rPr>
                <w:rPr>
                  <w:rFonts w:ascii="Cambria Math" w:hAnsi="Cambria Math"/>
                </w:rPr>
                <m:t>0,49 sec</m:t>
              </m:r>
            </m:den>
          </m:f>
          <m:r>
            <m:rPr>
              <m:sty m:val="p"/>
            </m:rPr>
            <w:rPr>
              <w:rFonts w:ascii="Cambria Math" w:hAnsi="Cambria Math"/>
            </w:rPr>
            <m:t>=0,545</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L∙sec</m:t>
              </m:r>
            </m:den>
          </m:f>
        </m:oMath>
      </m:oMathPara>
    </w:p>
    <w:p w:rsidR="000260CD" w:rsidRDefault="000260CD" w:rsidP="000260CD">
      <w:pPr>
        <w:tabs>
          <w:tab w:val="left" w:pos="1701"/>
          <w:tab w:val="left" w:pos="1985"/>
        </w:tabs>
        <w:ind w:left="2124"/>
        <w:rPr>
          <w:rFonts w:eastAsiaTheme="minorEastAsia"/>
        </w:rPr>
      </w:pPr>
      <w:r>
        <w:rPr>
          <w:rFonts w:eastAsiaTheme="minorEastAsia"/>
        </w:rPr>
        <w:t>Daraus lässt sich aus der Auftragung, Konzentration gegen Reaktionsg</w:t>
      </w:r>
      <w:r>
        <w:rPr>
          <w:rFonts w:eastAsiaTheme="minorEastAsia"/>
        </w:rPr>
        <w:t>e</w:t>
      </w:r>
      <w:r>
        <w:rPr>
          <w:rFonts w:eastAsiaTheme="minorEastAsia"/>
        </w:rPr>
        <w:t>schwindigkeit, der Geschwindigkeitskoeffizient k aus dem Geschwindi</w:t>
      </w:r>
      <w:r>
        <w:rPr>
          <w:rFonts w:eastAsiaTheme="minorEastAsia"/>
        </w:rPr>
        <w:t>g</w:t>
      </w:r>
      <w:r>
        <w:rPr>
          <w:rFonts w:eastAsiaTheme="minorEastAsia"/>
        </w:rPr>
        <w:t xml:space="preserve">keitsgesetz der Reaktion </w:t>
      </w:r>
      <m:oMath>
        <m:r>
          <m:rPr>
            <m:sty m:val="p"/>
          </m:rPr>
          <w:rPr>
            <w:rFonts w:ascii="Cambria Math" w:eastAsiaTheme="minorEastAsia" w:hAnsi="Cambria Math"/>
          </w:rPr>
          <m:t>v</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e>
        </m:d>
        <m:r>
          <m:rPr>
            <m:sty m:val="p"/>
          </m:rPr>
          <w:rPr>
            <w:rFonts w:ascii="Cambria Math" w:eastAsiaTheme="minorEastAsia" w:hAnsi="Cambria Math"/>
          </w:rPr>
          <m:t>=k∙c(</m:t>
        </m:r>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m:t>
            </m:r>
          </m:sup>
        </m:sSup>
        <m:r>
          <m:rPr>
            <m:sty m:val="p"/>
          </m:rPr>
          <w:rPr>
            <w:rFonts w:ascii="Cambria Math" w:eastAsiaTheme="minorEastAsia" w:hAnsi="Cambria Math"/>
          </w:rPr>
          <m:t>)∙c(Mg)</m:t>
        </m:r>
      </m:oMath>
      <w:r>
        <w:rPr>
          <w:rFonts w:eastAsiaTheme="minorEastAsia"/>
        </w:rPr>
        <w:t xml:space="preserve"> errechnen. Der G</w:t>
      </w:r>
      <w:proofErr w:type="spellStart"/>
      <w:r>
        <w:rPr>
          <w:rFonts w:eastAsiaTheme="minorEastAsia"/>
        </w:rPr>
        <w:t>e</w:t>
      </w:r>
      <w:r>
        <w:rPr>
          <w:rFonts w:eastAsiaTheme="minorEastAsia"/>
        </w:rPr>
        <w:t>schwindigkeitskoeffizient</w:t>
      </w:r>
      <w:proofErr w:type="spellEnd"/>
      <w:r>
        <w:rPr>
          <w:rFonts w:eastAsiaTheme="minorEastAsia"/>
        </w:rPr>
        <w:t xml:space="preserve"> ist die Steigung der Geraden:</w:t>
      </w:r>
    </w:p>
    <w:p w:rsidR="000260CD" w:rsidRDefault="000260CD" w:rsidP="000260CD">
      <w:pPr>
        <w:tabs>
          <w:tab w:val="left" w:pos="1701"/>
          <w:tab w:val="left" w:pos="2127"/>
        </w:tabs>
        <w:ind w:left="1843" w:firstLine="142"/>
        <w:jc w:val="left"/>
        <w:rPr>
          <w:rFonts w:eastAsiaTheme="minorEastAsia"/>
        </w:rPr>
      </w:pPr>
      <w:r>
        <w:rPr>
          <w:rFonts w:eastAsiaTheme="minorEastAsia"/>
        </w:rPr>
        <w:lastRenderedPageBreak/>
        <w:tab/>
      </w:r>
      <w:r w:rsidRPr="009D2CA4">
        <w:rPr>
          <w:rFonts w:eastAsiaTheme="minorEastAsia"/>
          <w:noProof/>
          <w:lang w:eastAsia="de-DE"/>
        </w:rPr>
        <w:drawing>
          <wp:inline distT="0" distB="0" distL="0" distR="0">
            <wp:extent cx="4870819" cy="2785731"/>
            <wp:effectExtent l="19050" t="0" r="25031" b="0"/>
            <wp:docPr id="2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60CD" w:rsidRDefault="000260CD" w:rsidP="000260CD">
      <w:pPr>
        <w:tabs>
          <w:tab w:val="left" w:pos="1701"/>
          <w:tab w:val="left" w:pos="1843"/>
          <w:tab w:val="left" w:pos="1985"/>
        </w:tabs>
        <w:rPr>
          <w:rFonts w:eastAsiaTheme="minorEastAsia"/>
        </w:rPr>
      </w:pPr>
      <w:r>
        <w:rPr>
          <w:rFonts w:eastAsiaTheme="minorEastAsia"/>
        </w:rPr>
        <w:tab/>
      </w:r>
      <w:r>
        <w:rPr>
          <w:rFonts w:eastAsiaTheme="minorEastAsia"/>
        </w:rPr>
        <w:tab/>
      </w:r>
      <w:r>
        <w:rPr>
          <w:rFonts w:eastAsiaTheme="minorEastAsia"/>
        </w:rPr>
        <w:tab/>
        <w:t>Der Reaktionsgeschwindigkeitskoeffizient k = 0,2555.</w:t>
      </w:r>
    </w:p>
    <w:p w:rsidR="000260CD" w:rsidRDefault="000260CD" w:rsidP="000260CD">
      <w:pPr>
        <w:tabs>
          <w:tab w:val="left" w:pos="1701"/>
          <w:tab w:val="left" w:pos="1985"/>
        </w:tabs>
        <w:ind w:left="1985"/>
        <w:rPr>
          <w:rFonts w:eastAsiaTheme="minorEastAsia"/>
        </w:rPr>
      </w:pPr>
      <w:r>
        <w:rPr>
          <w:rFonts w:eastAsiaTheme="minorEastAsia"/>
        </w:rPr>
        <w:t xml:space="preserve">Im letzten Schritt kann zusätzlich noch die Reaktionsordnung der Reaktion bestimmt werden. Zunächst wird die Vermutung aufgestellt, dass es sich bei der Reaktion von Salzsäure mit Magnesium um eine Reaktion erster Ordnung handelt. Dies wird mit der Auftragung Zeit gegen den natürlichen Logarithmus der Konzentration geteilt durch die </w:t>
      </w:r>
      <w:proofErr w:type="gramStart"/>
      <w:r>
        <w:rPr>
          <w:rFonts w:eastAsiaTheme="minorEastAsia"/>
        </w:rPr>
        <w:t xml:space="preserve">Anfangskonzentration </w:t>
      </w:r>
      <m:oMath>
        <w:proofErr w:type="gramEnd"/>
        <m:r>
          <w:rPr>
            <w:rFonts w:ascii="Cambria Math" w:eastAsiaTheme="minorEastAsia" w:hAnsi="Cambria Math"/>
          </w:rPr>
          <m:t>(</m:t>
        </m:r>
        <m:r>
          <m:rPr>
            <m:sty m:val="p"/>
          </m:rPr>
          <w:rPr>
            <w:rFonts w:ascii="Cambria Math" w:eastAsiaTheme="minorEastAsia" w:hAnsi="Cambria Math"/>
          </w:rPr>
          <m:t>ln⁡</m:t>
        </m:r>
        <m:r>
          <w:rPr>
            <w:rFonts w:ascii="Cambria Math" w:eastAsiaTheme="minorEastAsia" w:hAnsi="Cambria Math"/>
          </w:rPr>
          <m:t>(</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A</m:t>
                </m:r>
              </m:e>
            </m:d>
          </m:num>
          <m:den>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e>
            </m:d>
          </m:den>
        </m:f>
        <m:r>
          <w:rPr>
            <w:rFonts w:ascii="Cambria Math" w:eastAsiaTheme="minorEastAsia" w:hAnsi="Cambria Math"/>
          </w:rPr>
          <m:t>)</m:t>
        </m:r>
      </m:oMath>
      <w:r>
        <w:rPr>
          <w:rFonts w:eastAsiaTheme="minorEastAsia"/>
        </w:rPr>
        <w:t>) mit folgenden Wertepaaren:</w:t>
      </w:r>
    </w:p>
    <w:p w:rsidR="000260CD" w:rsidRDefault="000260CD" w:rsidP="000260CD">
      <w:pPr>
        <w:pStyle w:val="Beschriftung"/>
        <w:keepNext/>
        <w:ind w:left="708" w:firstLine="708"/>
        <w:jc w:val="center"/>
      </w:pPr>
      <w:r>
        <w:t xml:space="preserve">Tabelle </w:t>
      </w:r>
      <w:fldSimple w:instr=" SEQ Tabelle \* ARABIC ">
        <w:r>
          <w:rPr>
            <w:noProof/>
          </w:rPr>
          <w:t>2</w:t>
        </w:r>
      </w:fldSimple>
      <w:r>
        <w:t>:Wertepaare für die Auftragung zur Bestimmung der Reaktionsordnung.</w:t>
      </w:r>
    </w:p>
    <w:tbl>
      <w:tblPr>
        <w:tblStyle w:val="Tabellengitternetz"/>
        <w:tblW w:w="0" w:type="auto"/>
        <w:tblInd w:w="2093" w:type="dxa"/>
        <w:tblLook w:val="04A0"/>
      </w:tblPr>
      <w:tblGrid>
        <w:gridCol w:w="3652"/>
        <w:gridCol w:w="3543"/>
      </w:tblGrid>
      <w:tr w:rsidR="000260CD" w:rsidTr="005A17F9">
        <w:tc>
          <w:tcPr>
            <w:tcW w:w="3652" w:type="dxa"/>
          </w:tcPr>
          <w:p w:rsidR="000260CD" w:rsidRPr="00CF44CD" w:rsidRDefault="000260CD" w:rsidP="005A17F9">
            <w:pPr>
              <w:tabs>
                <w:tab w:val="left" w:pos="1701"/>
                <w:tab w:val="left" w:pos="1985"/>
              </w:tabs>
              <w:jc w:val="center"/>
              <w:rPr>
                <w:rFonts w:eastAsiaTheme="minorEastAsia"/>
                <w:b/>
              </w:rPr>
            </w:pPr>
            <w:proofErr w:type="spellStart"/>
            <w:r w:rsidRPr="00CF44CD">
              <w:rPr>
                <w:rFonts w:eastAsiaTheme="minorEastAsia"/>
                <w:b/>
              </w:rPr>
              <w:t>ln</w:t>
            </w:r>
            <w:proofErr w:type="spellEnd"/>
            <w:r w:rsidRPr="00CF44CD">
              <w:rPr>
                <w:rFonts w:eastAsiaTheme="minorEastAsia"/>
                <w:b/>
              </w:rPr>
              <w:t>([A]/[A</w:t>
            </w:r>
            <w:r w:rsidRPr="00CF44CD">
              <w:rPr>
                <w:rFonts w:eastAsiaTheme="minorEastAsia"/>
                <w:b/>
                <w:vertAlign w:val="subscript"/>
              </w:rPr>
              <w:t>0</w:t>
            </w:r>
            <w:r w:rsidRPr="00CF44CD">
              <w:rPr>
                <w:rFonts w:eastAsiaTheme="minorEastAsia"/>
                <w:b/>
              </w:rPr>
              <w:t>])</w:t>
            </w:r>
          </w:p>
        </w:tc>
        <w:tc>
          <w:tcPr>
            <w:tcW w:w="3543" w:type="dxa"/>
          </w:tcPr>
          <w:p w:rsidR="000260CD" w:rsidRPr="00CF44CD" w:rsidRDefault="000260CD" w:rsidP="005A17F9">
            <w:pPr>
              <w:tabs>
                <w:tab w:val="left" w:pos="1701"/>
                <w:tab w:val="left" w:pos="1985"/>
              </w:tabs>
              <w:jc w:val="center"/>
              <w:rPr>
                <w:rFonts w:eastAsiaTheme="minorEastAsia"/>
                <w:b/>
              </w:rPr>
            </w:pPr>
            <w:r w:rsidRPr="00CF44CD">
              <w:rPr>
                <w:rFonts w:eastAsiaTheme="minorEastAsia"/>
                <w:b/>
              </w:rPr>
              <w:t>Zeit t [sec]</w:t>
            </w:r>
          </w:p>
        </w:tc>
      </w:tr>
      <w:tr w:rsidR="000260CD" w:rsidTr="005A17F9">
        <w:tc>
          <w:tcPr>
            <w:tcW w:w="3652" w:type="dxa"/>
          </w:tcPr>
          <w:p w:rsidR="000260CD" w:rsidRDefault="000260CD" w:rsidP="005A17F9">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(0,267/0,1)</w:t>
            </w:r>
          </w:p>
        </w:tc>
        <w:tc>
          <w:tcPr>
            <w:tcW w:w="3543" w:type="dxa"/>
          </w:tcPr>
          <w:p w:rsidR="000260CD" w:rsidRDefault="000260CD" w:rsidP="005A17F9">
            <w:pPr>
              <w:tabs>
                <w:tab w:val="left" w:pos="1701"/>
                <w:tab w:val="left" w:pos="1985"/>
              </w:tabs>
              <w:jc w:val="center"/>
              <w:rPr>
                <w:rFonts w:eastAsiaTheme="minorEastAsia"/>
              </w:rPr>
            </w:pPr>
            <w:r>
              <w:rPr>
                <w:rFonts w:eastAsiaTheme="minorEastAsia"/>
              </w:rPr>
              <w:t>4,3</w:t>
            </w:r>
          </w:p>
        </w:tc>
      </w:tr>
      <w:tr w:rsidR="000260CD" w:rsidTr="005A17F9">
        <w:tc>
          <w:tcPr>
            <w:tcW w:w="3652" w:type="dxa"/>
          </w:tcPr>
          <w:p w:rsidR="000260CD" w:rsidRDefault="000260CD" w:rsidP="005A17F9">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(0,267/1)</w:t>
            </w:r>
          </w:p>
        </w:tc>
        <w:tc>
          <w:tcPr>
            <w:tcW w:w="3543" w:type="dxa"/>
          </w:tcPr>
          <w:p w:rsidR="000260CD" w:rsidRDefault="000260CD" w:rsidP="005A17F9">
            <w:pPr>
              <w:tabs>
                <w:tab w:val="left" w:pos="1701"/>
                <w:tab w:val="left" w:pos="1985"/>
              </w:tabs>
              <w:jc w:val="center"/>
              <w:rPr>
                <w:rFonts w:eastAsiaTheme="minorEastAsia"/>
              </w:rPr>
            </w:pPr>
            <w:r>
              <w:rPr>
                <w:rFonts w:eastAsiaTheme="minorEastAsia"/>
              </w:rPr>
              <w:t>1,2</w:t>
            </w:r>
          </w:p>
        </w:tc>
      </w:tr>
      <w:tr w:rsidR="000260CD" w:rsidTr="005A17F9">
        <w:tc>
          <w:tcPr>
            <w:tcW w:w="3652" w:type="dxa"/>
          </w:tcPr>
          <w:p w:rsidR="000260CD" w:rsidRDefault="000260CD" w:rsidP="005A17F9">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(0,267/2)</w:t>
            </w:r>
          </w:p>
        </w:tc>
        <w:tc>
          <w:tcPr>
            <w:tcW w:w="3543" w:type="dxa"/>
          </w:tcPr>
          <w:p w:rsidR="000260CD" w:rsidRDefault="000260CD" w:rsidP="005A17F9">
            <w:pPr>
              <w:tabs>
                <w:tab w:val="left" w:pos="1701"/>
                <w:tab w:val="left" w:pos="1985"/>
              </w:tabs>
              <w:jc w:val="center"/>
              <w:rPr>
                <w:rFonts w:eastAsiaTheme="minorEastAsia"/>
              </w:rPr>
            </w:pPr>
            <w:r>
              <w:rPr>
                <w:rFonts w:eastAsiaTheme="minorEastAsia"/>
              </w:rPr>
              <w:t>0,49</w:t>
            </w:r>
          </w:p>
        </w:tc>
      </w:tr>
    </w:tbl>
    <w:p w:rsidR="000260CD" w:rsidRDefault="000260CD" w:rsidP="000260CD">
      <w:pPr>
        <w:tabs>
          <w:tab w:val="left" w:pos="1701"/>
          <w:tab w:val="left" w:pos="1985"/>
        </w:tabs>
        <w:ind w:left="1985"/>
        <w:rPr>
          <w:rFonts w:eastAsiaTheme="minorEastAsia"/>
        </w:rPr>
      </w:pPr>
    </w:p>
    <w:p w:rsidR="000260CD" w:rsidRDefault="000260CD" w:rsidP="000260CD">
      <w:pPr>
        <w:tabs>
          <w:tab w:val="left" w:pos="1701"/>
          <w:tab w:val="left" w:pos="1985"/>
        </w:tabs>
        <w:ind w:left="1985"/>
        <w:rPr>
          <w:rFonts w:eastAsiaTheme="minorEastAsia"/>
        </w:rPr>
      </w:pPr>
      <w:r w:rsidRPr="00CF44CD">
        <w:rPr>
          <w:rFonts w:eastAsiaTheme="minorEastAsia"/>
          <w:noProof/>
          <w:lang w:eastAsia="de-DE"/>
        </w:rPr>
        <w:lastRenderedPageBreak/>
        <w:drawing>
          <wp:inline distT="0" distB="0" distL="0" distR="0">
            <wp:extent cx="5046345" cy="3248025"/>
            <wp:effectExtent l="19050" t="0" r="20955" b="0"/>
            <wp:docPr id="26"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60CD" w:rsidRDefault="000260CD" w:rsidP="000260CD">
      <w:pPr>
        <w:tabs>
          <w:tab w:val="left" w:pos="1701"/>
          <w:tab w:val="left" w:pos="1985"/>
        </w:tabs>
        <w:ind w:left="2124"/>
        <w:rPr>
          <w:rFonts w:eastAsiaTheme="minorEastAsia"/>
        </w:rPr>
      </w:pPr>
      <w:r>
        <w:t xml:space="preserve">Da bei dieser Auftragung eine Gerade herauskommt, kann die Reaktion experimentell als Reaktion 1. Ordnung ermittelt werden. Daher lautet das Geschwindigkeitsgesetz für die Reaktion: </w:t>
      </w:r>
      <m:oMath>
        <m:r>
          <m:rPr>
            <m:sty m:val="p"/>
          </m:rPr>
          <w:rPr>
            <w:rFonts w:ascii="Cambria Math" w:eastAsiaTheme="minorEastAsia" w:hAnsi="Cambria Math"/>
          </w:rPr>
          <m:t>v</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e>
        </m:d>
        <m:r>
          <m:rPr>
            <m:sty m:val="p"/>
          </m:rPr>
          <w:rPr>
            <w:rFonts w:ascii="Cambria Math" w:eastAsiaTheme="minorEastAsia" w:hAnsi="Cambria Math"/>
          </w:rPr>
          <m:t>=k∙c</m:t>
        </m:r>
        <m:d>
          <m:dPr>
            <m:ctrlPr>
              <w:rPr>
                <w:rFonts w:ascii="Cambria Math" w:eastAsiaTheme="minorEastAsia" w:hAnsi="Cambria Math"/>
              </w:rPr>
            </m:ctrlPr>
          </m:dPr>
          <m:e>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m:t>
                </m:r>
              </m:sup>
            </m:sSup>
          </m:e>
        </m:d>
        <m:r>
          <m:rPr>
            <m:sty m:val="p"/>
          </m:rPr>
          <w:rPr>
            <w:rFonts w:ascii="Cambria Math" w:eastAsiaTheme="minorEastAsia" w:hAnsi="Cambria Math"/>
          </w:rPr>
          <m:t>=0,2555∙c</m:t>
        </m:r>
        <m:d>
          <m:dPr>
            <m:ctrlPr>
              <w:rPr>
                <w:rFonts w:ascii="Cambria Math" w:eastAsiaTheme="minorEastAsia" w:hAnsi="Cambria Math"/>
              </w:rPr>
            </m:ctrlPr>
          </m:dPr>
          <m:e>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m:t>
                </m:r>
              </m:sup>
            </m:sSup>
          </m:e>
        </m:d>
      </m:oMath>
      <w:r>
        <w:rPr>
          <w:rFonts w:eastAsiaTheme="minorEastAsia"/>
        </w:rPr>
        <w:t>.</w:t>
      </w:r>
    </w:p>
    <w:p w:rsidR="000260CD" w:rsidRDefault="000260CD" w:rsidP="000260CD">
      <w:pPr>
        <w:ind w:left="2124" w:hanging="2124"/>
        <w:jc w:val="left"/>
      </w:pPr>
      <w:r>
        <w:t>Entsorgung:</w:t>
      </w:r>
      <w:r>
        <w:tab/>
        <w:t>Die Magnesium-Salzsäure-Lösung wird in einem Becherglas auf dem Le</w:t>
      </w:r>
      <w:r>
        <w:t>h</w:t>
      </w:r>
      <w:r>
        <w:t xml:space="preserve">rerpult gesammelt und anschließend im Säure-Base-Behälter entsorgt. </w:t>
      </w:r>
    </w:p>
    <w:p w:rsidR="000260CD" w:rsidRDefault="000260CD" w:rsidP="000260CD">
      <w:pPr>
        <w:ind w:left="2124" w:hanging="2124"/>
      </w:pPr>
      <w:r>
        <w:t>Literatur:</w:t>
      </w:r>
      <w:r>
        <w:tab/>
        <w:t xml:space="preserve">Vgl. H. </w:t>
      </w:r>
      <w:proofErr w:type="spellStart"/>
      <w:r>
        <w:t>Keune</w:t>
      </w:r>
      <w:proofErr w:type="spellEnd"/>
      <w:r>
        <w:t xml:space="preserve">, H. </w:t>
      </w:r>
      <w:proofErr w:type="spellStart"/>
      <w:r>
        <w:t>Böhland</w:t>
      </w:r>
      <w:proofErr w:type="spellEnd"/>
      <w:r>
        <w:t>, Chemische Schulexperimente – Band 3: Allg</w:t>
      </w:r>
      <w:r>
        <w:t>e</w:t>
      </w:r>
      <w:r>
        <w:t>meine, physikalische und analytische Chemie, Chemie und Umwelt, Volk und Wissen Verlag, 1. Auflage, 2001, S. 88 f.</w:t>
      </w:r>
    </w:p>
    <w:p w:rsidR="000260CD" w:rsidRDefault="000260CD" w:rsidP="000260CD">
      <w:pPr>
        <w:ind w:left="2124" w:hanging="2124"/>
      </w:pPr>
    </w:p>
    <w:p w:rsidR="000260CD" w:rsidRPr="00F31EBF" w:rsidRDefault="000260CD" w:rsidP="000260CD">
      <w:pPr>
        <w:tabs>
          <w:tab w:val="left" w:pos="1701"/>
          <w:tab w:val="left" w:pos="1985"/>
        </w:tabs>
        <w:ind w:left="1980" w:hanging="1980"/>
        <w:rPr>
          <w:color w:val="auto"/>
        </w:rPr>
      </w:pPr>
      <w:r w:rsidRPr="00174DF4">
        <w:pict>
          <v:shape id="_x0000_s1026" type="#_x0000_t202" style="width:462.45pt;height:157.25pt;mso-position-horizontal-relative:char;mso-position-vertical-relative:line;mso-width-relative:margin;mso-height-relative:margin" fillcolor="white [3201]" strokecolor="#c0504d [3205]" strokeweight="1pt">
            <v:stroke dashstyle="dash"/>
            <v:shadow color="#868686"/>
            <v:textbox style="mso-next-textbox:#_x0000_s1026">
              <w:txbxContent>
                <w:p w:rsidR="000260CD" w:rsidRDefault="000260CD" w:rsidP="000260CD">
                  <w:pPr>
                    <w:rPr>
                      <w:color w:val="auto"/>
                    </w:rPr>
                  </w:pPr>
                  <w:r>
                    <w:rPr>
                      <w:color w:val="auto"/>
                    </w:rPr>
                    <w:t>Es können weitere Versuche zur Reaktionsgeschwindigkeit in Abhängigkeit von anderen Var</w:t>
                  </w:r>
                  <w:r>
                    <w:rPr>
                      <w:color w:val="auto"/>
                    </w:rPr>
                    <w:t>i</w:t>
                  </w:r>
                  <w:r>
                    <w:rPr>
                      <w:color w:val="auto"/>
                    </w:rPr>
                    <w:t>ablen durchgeführt werden.</w:t>
                  </w:r>
                </w:p>
                <w:p w:rsidR="000260CD" w:rsidRPr="004A12D8" w:rsidRDefault="000260CD" w:rsidP="000260CD">
                  <w:pPr>
                    <w:rPr>
                      <w:color w:val="auto"/>
                    </w:rPr>
                  </w:pPr>
                  <w:r>
                    <w:rPr>
                      <w:color w:val="auto"/>
                    </w:rPr>
                    <w:t xml:space="preserve">Der Versuch wurde mit einem Überschuss an Magnesiumpulver durchgeführt. Alternativ kann die Menge an Magnesium geringer gewählt werden, sodass das ganze Magnesium reagiert und kein Überschuss übrig bleibt. Dies hat den Vorteil, dass die </w:t>
                  </w:r>
                  <w:proofErr w:type="spellStart"/>
                  <w:r>
                    <w:rPr>
                      <w:color w:val="auto"/>
                    </w:rPr>
                    <w:t>SuS</w:t>
                  </w:r>
                  <w:proofErr w:type="spellEnd"/>
                  <w:r>
                    <w:rPr>
                      <w:color w:val="auto"/>
                    </w:rPr>
                    <w:t xml:space="preserve"> beobachten können, dass das Magnesiumpulver unter Zugabe der Salzsäure vollständig in der Reaktion umgesetzt wird und somit sichergestellt ist, dass der gesamte Wasserstoff im </w:t>
                  </w:r>
                  <w:proofErr w:type="spellStart"/>
                  <w:r>
                    <w:rPr>
                      <w:color w:val="auto"/>
                    </w:rPr>
                    <w:t>Kolbenprober</w:t>
                  </w:r>
                  <w:proofErr w:type="spellEnd"/>
                  <w:r>
                    <w:rPr>
                      <w:color w:val="auto"/>
                    </w:rPr>
                    <w:t xml:space="preserve"> aufgefangen ist.</w:t>
                  </w:r>
                </w:p>
                <w:p w:rsidR="000260CD" w:rsidRPr="002D17E8" w:rsidRDefault="000260CD" w:rsidP="000260CD"/>
              </w:txbxContent>
            </v:textbox>
            <w10:wrap type="none"/>
            <w10:anchorlock/>
          </v:shape>
        </w:pict>
      </w:r>
    </w:p>
    <w:p w:rsidR="000260CD" w:rsidRDefault="000260CD" w:rsidP="000260CD">
      <w:pPr>
        <w:tabs>
          <w:tab w:val="left" w:pos="1701"/>
          <w:tab w:val="left" w:pos="1985"/>
        </w:tabs>
        <w:ind w:left="1980" w:hanging="1980"/>
        <w:rPr>
          <w:color w:val="1F497D" w:themeColor="text2"/>
        </w:rPr>
      </w:pPr>
    </w:p>
    <w:p w:rsidR="00BC7714" w:rsidRDefault="00BC7714"/>
    <w:sectPr w:rsidR="00BC7714" w:rsidSect="00BC77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260CD"/>
    <w:rsid w:val="00001137"/>
    <w:rsid w:val="00004A2F"/>
    <w:rsid w:val="00006EF7"/>
    <w:rsid w:val="00010B26"/>
    <w:rsid w:val="000134C2"/>
    <w:rsid w:val="000142C9"/>
    <w:rsid w:val="0001463C"/>
    <w:rsid w:val="000168EF"/>
    <w:rsid w:val="000177FB"/>
    <w:rsid w:val="00020A33"/>
    <w:rsid w:val="0002362A"/>
    <w:rsid w:val="000260CD"/>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4B1A"/>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57576"/>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0C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260C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260C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260C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260C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260C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260C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260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260C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260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60C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260C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260C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260C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260C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260C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260C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260C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260C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60CD"/>
    <w:pPr>
      <w:spacing w:line="240" w:lineRule="auto"/>
    </w:pPr>
    <w:rPr>
      <w:bCs/>
      <w:color w:val="auto"/>
      <w:sz w:val="18"/>
      <w:szCs w:val="18"/>
    </w:rPr>
  </w:style>
  <w:style w:type="table" w:styleId="Tabellengitternetz">
    <w:name w:val="Table Grid"/>
    <w:basedOn w:val="NormaleTabelle"/>
    <w:uiPriority w:val="59"/>
    <w:rsid w:val="00026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26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60C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ini\Documents\Uni%20SoSe_2015\Chemie%20SVP\11.&amp;12\Konzentrationsabh&#228;ngigke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ni\Documents\Uni%20SoSe_2015\Chemie%20SVP\11.&amp;12\Konzentrationsabh&#228;ngigke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de-DE" sz="1600"/>
              <a:t>Bestimmung des Reaktionskoeffizienten k</a:t>
            </a:r>
          </a:p>
        </c:rich>
      </c:tx>
      <c:layout>
        <c:manualLayout>
          <c:xMode val="edge"/>
          <c:yMode val="edge"/>
          <c:x val="0.11488716707060831"/>
          <c:y val="2.1650327772324608E-2"/>
        </c:manualLayout>
      </c:layout>
      <c:overlay val="1"/>
    </c:title>
    <c:plotArea>
      <c:layout>
        <c:manualLayout>
          <c:layoutTarget val="inner"/>
          <c:xMode val="edge"/>
          <c:yMode val="edge"/>
          <c:x val="0.10801842962877928"/>
          <c:y val="0.14424270405185274"/>
          <c:w val="0.79876349527632151"/>
          <c:h val="0.72569360388920556"/>
        </c:manualLayout>
      </c:layout>
      <c:scatterChart>
        <c:scatterStyle val="lineMarker"/>
        <c:ser>
          <c:idx val="0"/>
          <c:order val="0"/>
          <c:spPr>
            <a:ln w="28575">
              <a:noFill/>
            </a:ln>
          </c:spPr>
          <c:trendline>
            <c:trendlineType val="linear"/>
            <c:dispEq val="1"/>
            <c:trendlineLbl>
              <c:layout>
                <c:manualLayout>
                  <c:x val="0.17984798362307924"/>
                  <c:y val="0.10757129799669612"/>
                </c:manualLayout>
              </c:layout>
              <c:numFmt formatCode="General" sourceLinked="0"/>
            </c:trendlineLbl>
          </c:trendline>
          <c:xVal>
            <c:numRef>
              <c:f>Tabelle1!$C$2:$C$4</c:f>
              <c:numCache>
                <c:formatCode>General</c:formatCode>
                <c:ptCount val="3"/>
                <c:pt idx="0">
                  <c:v>0.1</c:v>
                </c:pt>
                <c:pt idx="1">
                  <c:v>1</c:v>
                </c:pt>
                <c:pt idx="2">
                  <c:v>2</c:v>
                </c:pt>
              </c:numCache>
            </c:numRef>
          </c:xVal>
          <c:yVal>
            <c:numRef>
              <c:f>Tabelle1!$A$2:$A$4</c:f>
              <c:numCache>
                <c:formatCode>General</c:formatCode>
                <c:ptCount val="3"/>
                <c:pt idx="0">
                  <c:v>6.2000000000000124E-2</c:v>
                </c:pt>
                <c:pt idx="1">
                  <c:v>0.22300000000000014</c:v>
                </c:pt>
                <c:pt idx="2">
                  <c:v>0.54500000000000004</c:v>
                </c:pt>
              </c:numCache>
            </c:numRef>
          </c:yVal>
        </c:ser>
        <c:axId val="89806720"/>
        <c:axId val="105650432"/>
      </c:scatterChart>
      <c:valAx>
        <c:axId val="89806720"/>
        <c:scaling>
          <c:orientation val="minMax"/>
        </c:scaling>
        <c:axPos val="b"/>
        <c:title>
          <c:tx>
            <c:rich>
              <a:bodyPr/>
              <a:lstStyle/>
              <a:p>
                <a:pPr>
                  <a:defRPr/>
                </a:pPr>
                <a:r>
                  <a:rPr lang="de-DE"/>
                  <a:t>Konzentration von H</a:t>
                </a:r>
                <a:r>
                  <a:rPr lang="de-DE" sz="1100"/>
                  <a:t>+</a:t>
                </a:r>
                <a:r>
                  <a:rPr lang="de-DE"/>
                  <a:t> [mol/L]</a:t>
                </a:r>
              </a:p>
            </c:rich>
          </c:tx>
          <c:layout>
            <c:manualLayout>
              <c:xMode val="edge"/>
              <c:yMode val="edge"/>
              <c:x val="0.34974084744306977"/>
              <c:y val="0.93053826738111411"/>
            </c:manualLayout>
          </c:layout>
        </c:title>
        <c:numFmt formatCode="General" sourceLinked="1"/>
        <c:tickLblPos val="nextTo"/>
        <c:crossAx val="105650432"/>
        <c:crosses val="autoZero"/>
        <c:crossBetween val="midCat"/>
      </c:valAx>
      <c:valAx>
        <c:axId val="105650432"/>
        <c:scaling>
          <c:orientation val="minMax"/>
        </c:scaling>
        <c:axPos val="l"/>
        <c:majorGridlines/>
        <c:title>
          <c:tx>
            <c:rich>
              <a:bodyPr rot="-5400000" vert="horz"/>
              <a:lstStyle/>
              <a:p>
                <a:pPr>
                  <a:defRPr/>
                </a:pPr>
                <a:r>
                  <a:rPr lang="de-DE"/>
                  <a:t>Reaktionsgeschwindigkeit v</a:t>
                </a:r>
                <a:r>
                  <a:rPr lang="de-DE" sz="700"/>
                  <a:t>r</a:t>
                </a:r>
                <a:endParaRPr lang="de-DE"/>
              </a:p>
            </c:rich>
          </c:tx>
        </c:title>
        <c:numFmt formatCode="General" sourceLinked="1"/>
        <c:tickLblPos val="nextTo"/>
        <c:crossAx val="89806720"/>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title>
      <c:tx>
        <c:rich>
          <a:bodyPr/>
          <a:lstStyle/>
          <a:p>
            <a:pPr>
              <a:defRPr/>
            </a:pPr>
            <a:r>
              <a:rPr lang="en-US"/>
              <a:t>Bestimmung</a:t>
            </a:r>
            <a:r>
              <a:rPr lang="en-US" baseline="0"/>
              <a:t> der Reaktionsordnung</a:t>
            </a:r>
            <a:endParaRPr lang="en-US"/>
          </a:p>
        </c:rich>
      </c:tx>
    </c:title>
    <c:plotArea>
      <c:layout/>
      <c:scatterChart>
        <c:scatterStyle val="smoothMarker"/>
        <c:ser>
          <c:idx val="0"/>
          <c:order val="0"/>
          <c:tx>
            <c:strRef>
              <c:f>Tabelle1!$B$9</c:f>
              <c:strCache>
                <c:ptCount val="1"/>
                <c:pt idx="0">
                  <c:v>Zeit</c:v>
                </c:pt>
              </c:strCache>
            </c:strRef>
          </c:tx>
          <c:xVal>
            <c:numRef>
              <c:f>Tabelle1!$B$10:$B$12</c:f>
              <c:numCache>
                <c:formatCode>General</c:formatCode>
                <c:ptCount val="3"/>
                <c:pt idx="0">
                  <c:v>4.3</c:v>
                </c:pt>
                <c:pt idx="1">
                  <c:v>1.2</c:v>
                </c:pt>
                <c:pt idx="2">
                  <c:v>0.49000000000000032</c:v>
                </c:pt>
              </c:numCache>
            </c:numRef>
          </c:xVal>
          <c:yVal>
            <c:numRef>
              <c:f>Tabelle1!$A$10:$A$12</c:f>
              <c:numCache>
                <c:formatCode>General</c:formatCode>
                <c:ptCount val="3"/>
                <c:pt idx="0">
                  <c:v>0.98207847241215862</c:v>
                </c:pt>
                <c:pt idx="1">
                  <c:v>-1.3205066205818881</c:v>
                </c:pt>
                <c:pt idx="2">
                  <c:v>-2.0136538011418326</c:v>
                </c:pt>
              </c:numCache>
            </c:numRef>
          </c:yVal>
          <c:smooth val="1"/>
        </c:ser>
        <c:axId val="90158976"/>
        <c:axId val="90165248"/>
      </c:scatterChart>
      <c:valAx>
        <c:axId val="90158976"/>
        <c:scaling>
          <c:orientation val="minMax"/>
        </c:scaling>
        <c:axPos val="b"/>
        <c:title>
          <c:tx>
            <c:rich>
              <a:bodyPr/>
              <a:lstStyle/>
              <a:p>
                <a:pPr>
                  <a:defRPr/>
                </a:pPr>
                <a:r>
                  <a:rPr lang="de-DE"/>
                  <a:t>Zeit t in sec</a:t>
                </a:r>
              </a:p>
            </c:rich>
          </c:tx>
        </c:title>
        <c:numFmt formatCode="General" sourceLinked="1"/>
        <c:tickLblPos val="nextTo"/>
        <c:crossAx val="90165248"/>
        <c:crosses val="autoZero"/>
        <c:crossBetween val="midCat"/>
      </c:valAx>
      <c:valAx>
        <c:axId val="90165248"/>
        <c:scaling>
          <c:orientation val="minMax"/>
          <c:max val="1"/>
          <c:min val="-2.5"/>
        </c:scaling>
        <c:axPos val="l"/>
        <c:majorGridlines/>
        <c:title>
          <c:tx>
            <c:rich>
              <a:bodyPr rot="-5400000" vert="horz"/>
              <a:lstStyle/>
              <a:p>
                <a:pPr>
                  <a:defRPr/>
                </a:pPr>
                <a:r>
                  <a:rPr lang="de-DE"/>
                  <a:t>ln([A]/[A0])</a:t>
                </a:r>
              </a:p>
            </c:rich>
          </c:tx>
        </c:title>
        <c:numFmt formatCode="General" sourceLinked="1"/>
        <c:tickLblPos val="nextTo"/>
        <c:crossAx val="90158976"/>
        <c:crosses val="autoZero"/>
        <c:crossBetween val="midCat"/>
      </c:valAx>
    </c:plotArea>
    <c:plotVisOnly val="1"/>
    <c:dispBlanksAs val="gap"/>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630</Words>
  <Characters>3976</Characters>
  <Application>Microsoft Office Word</Application>
  <DocSecurity>0</DocSecurity>
  <Lines>33</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2015-08-27T09:35:00Z</dcterms:created>
  <dcterms:modified xsi:type="dcterms:W3CDTF">2015-08-27T09:38:00Z</dcterms:modified>
</cp:coreProperties>
</file>