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DA1" w:rsidRDefault="00037DA1" w:rsidP="00037DA1">
      <w:pPr>
        <w:pStyle w:val="berschrift1"/>
        <w:numPr>
          <w:ilvl w:val="0"/>
          <w:numId w:val="0"/>
        </w:numPr>
        <w:ind w:left="432"/>
      </w:pPr>
      <w:bookmarkStart w:id="0" w:name="_Toc427831166"/>
      <w:r>
        <w:rPr>
          <w:noProof/>
          <w:lang w:eastAsia="de-DE"/>
        </w:rPr>
        <mc:AlternateContent>
          <mc:Choice Requires="wps">
            <w:drawing>
              <wp:anchor distT="0" distB="0" distL="114300" distR="114300" simplePos="0" relativeHeight="251659264" behindDoc="0" locked="0" layoutInCell="1" allowOverlap="1" wp14:anchorId="43318690" wp14:editId="5E0413FC">
                <wp:simplePos x="0" y="0"/>
                <wp:positionH relativeFrom="column">
                  <wp:posOffset>-635</wp:posOffset>
                </wp:positionH>
                <wp:positionV relativeFrom="paragraph">
                  <wp:posOffset>906145</wp:posOffset>
                </wp:positionV>
                <wp:extent cx="5873115" cy="2006600"/>
                <wp:effectExtent l="0" t="0" r="13335" b="12700"/>
                <wp:wrapSquare wrapText="bothSides"/>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066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7DA1" w:rsidRPr="00B63B8F" w:rsidRDefault="00037DA1" w:rsidP="00037DA1">
                            <w:pPr>
                              <w:rPr>
                                <w:rFonts w:asciiTheme="majorHAnsi" w:hAnsiTheme="majorHAnsi"/>
                                <w:color w:val="auto"/>
                              </w:rPr>
                            </w:pPr>
                            <w:r w:rsidRPr="00B63B8F">
                              <w:rPr>
                                <w:rFonts w:asciiTheme="majorHAnsi" w:hAnsiTheme="majorHAnsi"/>
                                <w:color w:val="auto"/>
                              </w:rPr>
                              <w:t xml:space="preserve">In diesem Versuch soll quantitativ die Anzahl eines unbekannten gasförmigen Kohlenwasserstoffs ermittelt werden. Hierfür kann jeder beliebige gasförmige Kohlenwasserstoff verwendet werden. Das Experiment wurde am Beispiel von Butan durchgeführt, da dieses als Feuerzeuggas einen Bezug zur Lebenswelt der SuS herstellt. </w:t>
                            </w:r>
                          </w:p>
                          <w:p w:rsidR="00037DA1" w:rsidRPr="00B63B8F" w:rsidRDefault="00037DA1" w:rsidP="00037DA1">
                            <w:pPr>
                              <w:rPr>
                                <w:rFonts w:asciiTheme="majorHAnsi" w:hAnsiTheme="majorHAnsi"/>
                                <w:color w:val="auto"/>
                              </w:rPr>
                            </w:pPr>
                            <w:r w:rsidRPr="00B63B8F">
                              <w:rPr>
                                <w:rFonts w:asciiTheme="majorHAnsi" w:hAnsiTheme="majorHAnsi"/>
                                <w:color w:val="auto"/>
                              </w:rPr>
                              <w:t>Der Versuch kann auch als Schülerversuch durchgeführt werden, wobei die SuS den richtigen Umgang mit dem Kolbenprober und dem Bunsenbrenner beachten sollten.</w:t>
                            </w:r>
                            <w:r>
                              <w:rPr>
                                <w:rFonts w:asciiTheme="majorHAnsi" w:hAnsiTheme="majorHAnsi"/>
                                <w:color w:val="auto"/>
                              </w:rPr>
                              <w:t xml:space="preserve"> Jedoch müssen hierfür genügend Materialien vorhanden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318690" id="_x0000_t202" coordsize="21600,21600" o:spt="202" path="m,l,21600r21600,l21600,xe">
                <v:stroke joinstyle="miter"/>
                <v:path gradientshapeok="t" o:connecttype="rect"/>
              </v:shapetype>
              <v:shape id="Text Box 60" o:spid="_x0000_s1026" type="#_x0000_t202" style="position:absolute;left:0;text-align:left;margin-left:-.05pt;margin-top:71.35pt;width:462.45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" fillcolor="white [3201]" strokecolor="#4472c4 [3208]" strokeweight="1pt">
                <v:stroke dashstyle="dash"/>
                <v:shadow color="#868686"/>
                <v:textbox>
                  <w:txbxContent>
                    <w:p w:rsidR="00037DA1" w:rsidRPr="00B63B8F" w:rsidRDefault="00037DA1" w:rsidP="00037DA1">
                      <w:pPr>
                        <w:rPr>
                          <w:rFonts w:asciiTheme="majorHAnsi" w:hAnsiTheme="majorHAnsi"/>
                          <w:color w:val="auto"/>
                        </w:rPr>
                      </w:pPr>
                      <w:r w:rsidRPr="00B63B8F">
                        <w:rPr>
                          <w:rFonts w:asciiTheme="majorHAnsi" w:hAnsiTheme="majorHAnsi"/>
                          <w:color w:val="auto"/>
                        </w:rPr>
                        <w:t xml:space="preserve">In diesem Versuch soll quantitativ die Anzahl eines unbekannten gasförmigen Kohlenwasserstoffs ermittelt werden. Hierfür kann jeder beliebige gasförmige Kohlenwasserstoff verwendet werden. Das Experiment wurde am Beispiel von Butan durchgeführt, da dieses als Feuerzeuggas einen Bezug zur Lebenswelt der SuS herstellt. </w:t>
                      </w:r>
                    </w:p>
                    <w:p w:rsidR="00037DA1" w:rsidRPr="00B63B8F" w:rsidRDefault="00037DA1" w:rsidP="00037DA1">
                      <w:pPr>
                        <w:rPr>
                          <w:rFonts w:asciiTheme="majorHAnsi" w:hAnsiTheme="majorHAnsi"/>
                          <w:color w:val="auto"/>
                        </w:rPr>
                      </w:pPr>
                      <w:r w:rsidRPr="00B63B8F">
                        <w:rPr>
                          <w:rFonts w:asciiTheme="majorHAnsi" w:hAnsiTheme="majorHAnsi"/>
                          <w:color w:val="auto"/>
                        </w:rPr>
                        <w:t>Der Versuch kann auch als Schülerversuch durchgeführt werden, wobei die SuS den richtigen Umgang mit dem Kolbenprober und dem Bunsenbrenner beachten sollten.</w:t>
                      </w:r>
                      <w:r>
                        <w:rPr>
                          <w:rFonts w:asciiTheme="majorHAnsi" w:hAnsiTheme="majorHAnsi"/>
                          <w:color w:val="auto"/>
                        </w:rPr>
                        <w:t xml:space="preserve"> Jedoch müssen hierfür genügend Materialien vorhanden sein.</w:t>
                      </w:r>
                    </w:p>
                  </w:txbxContent>
                </v:textbox>
                <w10:wrap type="square"/>
              </v:shape>
            </w:pict>
          </mc:Fallback>
        </mc:AlternateContent>
      </w:r>
      <w:bookmarkStart w:id="1" w:name="_GoBack"/>
      <w:bookmarkEnd w:id="1"/>
      <w:r>
        <w:t>Lehrerversuch – V1 - Bestimmung der Anzahl der Kohlenstoffatome eines unbekannten gasförmigen Kohlenwasserstoffs</w:t>
      </w:r>
      <w:bookmarkEnd w:id="0"/>
    </w:p>
    <w:p w:rsidR="00037DA1" w:rsidRDefault="00037DA1" w:rsidP="00037DA1">
      <w:pPr>
        <w:pStyle w:val="berschrift2"/>
        <w:numPr>
          <w:ilvl w:val="0"/>
          <w:numId w:val="0"/>
        </w:numPr>
      </w:pPr>
      <w:bookmarkStart w:id="2" w:name="_Toc425776595"/>
      <w:bookmarkEnd w:id="2"/>
      <w: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37DA1" w:rsidRPr="009C5E28" w:rsidTr="005D4236">
        <w:tc>
          <w:tcPr>
            <w:tcW w:w="9322" w:type="dxa"/>
            <w:gridSpan w:val="9"/>
            <w:shd w:val="clear" w:color="auto" w:fill="4F81BD"/>
            <w:vAlign w:val="center"/>
          </w:tcPr>
          <w:p w:rsidR="00037DA1" w:rsidRPr="00F31EBF" w:rsidRDefault="00037DA1" w:rsidP="005D4236">
            <w:pPr>
              <w:spacing w:after="0"/>
              <w:jc w:val="center"/>
              <w:rPr>
                <w:b/>
                <w:bCs/>
                <w:color w:val="FFFFFF" w:themeColor="background1"/>
              </w:rPr>
            </w:pPr>
            <w:r w:rsidRPr="00F31EBF">
              <w:rPr>
                <w:b/>
                <w:bCs/>
                <w:color w:val="FFFFFF" w:themeColor="background1"/>
              </w:rPr>
              <w:t>Gefahrenstoffe</w:t>
            </w:r>
          </w:p>
        </w:tc>
      </w:tr>
      <w:tr w:rsidR="00037DA1" w:rsidRPr="009C5E28" w:rsidTr="005D4236">
        <w:trPr>
          <w:trHeight w:val="437"/>
        </w:trPr>
        <w:tc>
          <w:tcPr>
            <w:tcW w:w="3027" w:type="dxa"/>
            <w:gridSpan w:val="3"/>
            <w:tcBorders>
              <w:top w:val="single" w:sz="8" w:space="0" w:color="4F81BD"/>
              <w:left w:val="single" w:sz="8" w:space="0" w:color="4F81BD"/>
              <w:bottom w:val="single" w:sz="8" w:space="0" w:color="4F81BD"/>
            </w:tcBorders>
            <w:shd w:val="clear" w:color="auto" w:fill="auto"/>
          </w:tcPr>
          <w:p w:rsidR="00037DA1" w:rsidRPr="00FC2D57" w:rsidRDefault="00037DA1" w:rsidP="005D4236">
            <w:pPr>
              <w:spacing w:after="0" w:line="276" w:lineRule="auto"/>
              <w:jc w:val="center"/>
              <w:rPr>
                <w:rFonts w:asciiTheme="majorHAnsi" w:hAnsiTheme="majorHAnsi"/>
                <w:b/>
                <w:bCs/>
              </w:rPr>
            </w:pPr>
            <w:r w:rsidRPr="00FC2D57">
              <w:rPr>
                <w:rFonts w:asciiTheme="majorHAnsi" w:hAnsiTheme="majorHAnsi" w:cs="TimesNewRomanPSMT"/>
                <w:color w:val="1D1B11"/>
              </w:rPr>
              <w:t xml:space="preserve">Kupfer(II)-oxid </w:t>
            </w:r>
          </w:p>
        </w:tc>
        <w:tc>
          <w:tcPr>
            <w:tcW w:w="3177" w:type="dxa"/>
            <w:gridSpan w:val="3"/>
            <w:tcBorders>
              <w:top w:val="single" w:sz="8" w:space="0" w:color="4F81BD"/>
              <w:bottom w:val="single" w:sz="8" w:space="0" w:color="4F81BD"/>
            </w:tcBorders>
            <w:shd w:val="clear" w:color="auto" w:fill="auto"/>
          </w:tcPr>
          <w:p w:rsidR="00037DA1" w:rsidRPr="00FC2D57" w:rsidRDefault="00037DA1" w:rsidP="005D4236">
            <w:pPr>
              <w:spacing w:after="0"/>
              <w:jc w:val="center"/>
              <w:rPr>
                <w:rFonts w:asciiTheme="majorHAnsi" w:hAnsiTheme="majorHAnsi"/>
              </w:rPr>
            </w:pPr>
            <w:r w:rsidRPr="00FC2D57">
              <w:rPr>
                <w:rFonts w:asciiTheme="majorHAnsi" w:hAnsiTheme="majorHAnsi" w:cs="TimesNewRomanPSMT"/>
                <w:color w:val="1D1B11"/>
              </w:rPr>
              <w:t xml:space="preserve">H: </w:t>
            </w:r>
            <w:r w:rsidRPr="00FC2D57">
              <w:rPr>
                <w:rFonts w:asciiTheme="majorHAnsi" w:hAnsiTheme="majorHAnsi" w:cs="TimesNewRomanPSMT"/>
                <w:color w:val="000000"/>
              </w:rPr>
              <w:t>302</w:t>
            </w:r>
            <w:r w:rsidRPr="00FC2D57">
              <w:rPr>
                <w:rFonts w:asciiTheme="majorHAnsi" w:hAnsiTheme="majorHAnsi" w:cs="TimesNewRomanPSMT"/>
                <w:color w:val="1D1B11"/>
              </w:rPr>
              <w:t xml:space="preserve">, 410 </w:t>
            </w:r>
          </w:p>
        </w:tc>
        <w:tc>
          <w:tcPr>
            <w:tcW w:w="3118" w:type="dxa"/>
            <w:gridSpan w:val="3"/>
            <w:tcBorders>
              <w:top w:val="single" w:sz="8" w:space="0" w:color="4F81BD"/>
              <w:bottom w:val="single" w:sz="8" w:space="0" w:color="4F81BD"/>
              <w:right w:val="single" w:sz="8" w:space="0" w:color="4F81BD"/>
            </w:tcBorders>
            <w:shd w:val="clear" w:color="auto" w:fill="auto"/>
          </w:tcPr>
          <w:p w:rsidR="00037DA1" w:rsidRPr="00FC2D57" w:rsidRDefault="00037DA1" w:rsidP="005D4236">
            <w:pPr>
              <w:spacing w:after="0"/>
              <w:jc w:val="center"/>
              <w:rPr>
                <w:rFonts w:asciiTheme="majorHAnsi" w:hAnsiTheme="majorHAnsi"/>
              </w:rPr>
            </w:pPr>
            <w:r w:rsidRPr="00FC2D57">
              <w:rPr>
                <w:rFonts w:asciiTheme="majorHAnsi" w:hAnsiTheme="majorHAnsi" w:cs="TimesNewRomanPSMT"/>
                <w:color w:val="1D1B11"/>
              </w:rPr>
              <w:t xml:space="preserve"> P: 2</w:t>
            </w:r>
            <w:r w:rsidRPr="00FC2D57">
              <w:rPr>
                <w:rFonts w:asciiTheme="majorHAnsi" w:hAnsiTheme="majorHAnsi" w:cs="TimesNewRomanPSMT"/>
                <w:color w:val="000000"/>
              </w:rPr>
              <w:t>60, 273</w:t>
            </w:r>
          </w:p>
        </w:tc>
      </w:tr>
      <w:tr w:rsidR="00037DA1" w:rsidRPr="009C5E28" w:rsidTr="005D4236">
        <w:trPr>
          <w:trHeight w:val="434"/>
        </w:trPr>
        <w:tc>
          <w:tcPr>
            <w:tcW w:w="3027" w:type="dxa"/>
            <w:gridSpan w:val="3"/>
            <w:shd w:val="clear" w:color="auto" w:fill="auto"/>
          </w:tcPr>
          <w:p w:rsidR="00037DA1" w:rsidRPr="00FC2D57" w:rsidRDefault="00037DA1" w:rsidP="005D4236">
            <w:pPr>
              <w:spacing w:after="0" w:line="276" w:lineRule="auto"/>
              <w:jc w:val="center"/>
              <w:rPr>
                <w:rFonts w:asciiTheme="majorHAnsi" w:hAnsiTheme="majorHAnsi"/>
                <w:bCs/>
              </w:rPr>
            </w:pPr>
            <w:r w:rsidRPr="00FC2D57">
              <w:rPr>
                <w:rFonts w:asciiTheme="majorHAnsi" w:hAnsiTheme="majorHAnsi" w:cs="TimesNewRomanPSMT"/>
                <w:color w:val="000000"/>
              </w:rPr>
              <w:t xml:space="preserve">Butan </w:t>
            </w:r>
          </w:p>
        </w:tc>
        <w:tc>
          <w:tcPr>
            <w:tcW w:w="3177" w:type="dxa"/>
            <w:gridSpan w:val="3"/>
            <w:shd w:val="clear" w:color="auto" w:fill="auto"/>
          </w:tcPr>
          <w:p w:rsidR="00037DA1" w:rsidRPr="00FC2D57" w:rsidRDefault="00037DA1" w:rsidP="005D4236">
            <w:pPr>
              <w:pStyle w:val="Beschriftung"/>
              <w:spacing w:after="0"/>
              <w:jc w:val="center"/>
              <w:rPr>
                <w:rFonts w:asciiTheme="majorHAnsi" w:hAnsiTheme="majorHAnsi"/>
                <w:sz w:val="22"/>
                <w:szCs w:val="22"/>
              </w:rPr>
            </w:pPr>
            <w:r w:rsidRPr="00FC2D57">
              <w:rPr>
                <w:rFonts w:asciiTheme="majorHAnsi" w:hAnsiTheme="majorHAnsi"/>
                <w:sz w:val="22"/>
                <w:szCs w:val="22"/>
              </w:rPr>
              <w:t>H: 220, 280</w:t>
            </w:r>
          </w:p>
        </w:tc>
        <w:tc>
          <w:tcPr>
            <w:tcW w:w="3118" w:type="dxa"/>
            <w:gridSpan w:val="3"/>
            <w:shd w:val="clear" w:color="auto" w:fill="auto"/>
          </w:tcPr>
          <w:p w:rsidR="00037DA1" w:rsidRPr="00FC2D57" w:rsidRDefault="00037DA1" w:rsidP="005D4236">
            <w:pPr>
              <w:pStyle w:val="Beschriftung"/>
              <w:spacing w:after="0"/>
              <w:jc w:val="center"/>
              <w:rPr>
                <w:rFonts w:asciiTheme="majorHAnsi" w:hAnsiTheme="majorHAnsi"/>
                <w:sz w:val="22"/>
                <w:szCs w:val="22"/>
              </w:rPr>
            </w:pPr>
            <w:r w:rsidRPr="00FC2D57">
              <w:rPr>
                <w:rFonts w:asciiTheme="majorHAnsi" w:hAnsiTheme="majorHAnsi"/>
                <w:sz w:val="22"/>
                <w:szCs w:val="22"/>
              </w:rPr>
              <w:t>P: 210, 377, 381, 403</w:t>
            </w:r>
          </w:p>
        </w:tc>
      </w:tr>
      <w:tr w:rsidR="00037DA1" w:rsidRPr="009C5E28" w:rsidTr="005D4236">
        <w:tc>
          <w:tcPr>
            <w:tcW w:w="1009" w:type="dxa"/>
            <w:tcBorders>
              <w:top w:val="single" w:sz="8" w:space="0" w:color="4F81BD"/>
              <w:left w:val="single" w:sz="8" w:space="0" w:color="4F81BD"/>
              <w:bottom w:val="single" w:sz="8" w:space="0" w:color="4F81BD"/>
            </w:tcBorders>
            <w:shd w:val="clear" w:color="auto" w:fill="auto"/>
            <w:vAlign w:val="center"/>
          </w:tcPr>
          <w:p w:rsidR="00037DA1" w:rsidRPr="009C5E28" w:rsidRDefault="00037DA1" w:rsidP="005D4236">
            <w:pPr>
              <w:spacing w:after="0"/>
              <w:jc w:val="center"/>
              <w:rPr>
                <w:b/>
                <w:bCs/>
              </w:rPr>
            </w:pPr>
            <w:r>
              <w:rPr>
                <w:b/>
                <w:noProof/>
                <w:lang w:eastAsia="de-DE"/>
              </w:rPr>
              <w:drawing>
                <wp:inline distT="0" distB="0" distL="0" distR="0" wp14:anchorId="5D7F83EF" wp14:editId="7FF55C69">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7DA1" w:rsidRPr="009C5E28" w:rsidRDefault="00037DA1" w:rsidP="005D4236">
            <w:pPr>
              <w:spacing w:after="0"/>
              <w:jc w:val="center"/>
            </w:pPr>
            <w:r>
              <w:rPr>
                <w:noProof/>
                <w:lang w:eastAsia="de-DE"/>
              </w:rPr>
              <w:drawing>
                <wp:inline distT="0" distB="0" distL="0" distR="0" wp14:anchorId="02E71A44" wp14:editId="76E74864">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7DA1" w:rsidRPr="009C5E28" w:rsidRDefault="00037DA1" w:rsidP="005D4236">
            <w:pPr>
              <w:spacing w:after="0"/>
              <w:jc w:val="center"/>
            </w:pPr>
            <w:r>
              <w:rPr>
                <w:noProof/>
                <w:lang w:eastAsia="de-DE"/>
              </w:rPr>
              <w:drawing>
                <wp:inline distT="0" distB="0" distL="0" distR="0" wp14:anchorId="21D10C2F" wp14:editId="6BCD282F">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7DA1" w:rsidRPr="009C5E28" w:rsidRDefault="00037DA1" w:rsidP="005D4236">
            <w:pPr>
              <w:spacing w:after="0"/>
              <w:jc w:val="center"/>
            </w:pPr>
            <w:r>
              <w:rPr>
                <w:noProof/>
                <w:lang w:eastAsia="de-DE"/>
              </w:rPr>
              <w:drawing>
                <wp:inline distT="0" distB="0" distL="0" distR="0" wp14:anchorId="388B8D5C" wp14:editId="5CBAC6AE">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37DA1" w:rsidRPr="009C5E28" w:rsidRDefault="00037DA1" w:rsidP="005D4236">
            <w:pPr>
              <w:spacing w:after="0"/>
              <w:jc w:val="center"/>
            </w:pPr>
            <w:r>
              <w:rPr>
                <w:noProof/>
                <w:lang w:eastAsia="de-DE"/>
              </w:rPr>
              <w:drawing>
                <wp:inline distT="0" distB="0" distL="0" distR="0" wp14:anchorId="0464ED43" wp14:editId="2EEED3F8">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37DA1" w:rsidRPr="009C5E28" w:rsidRDefault="00037DA1" w:rsidP="005D4236">
            <w:pPr>
              <w:spacing w:after="0"/>
              <w:jc w:val="center"/>
            </w:pPr>
            <w:r>
              <w:rPr>
                <w:noProof/>
                <w:lang w:eastAsia="de-DE"/>
              </w:rPr>
              <w:drawing>
                <wp:inline distT="0" distB="0" distL="0" distR="0" wp14:anchorId="1B46A684" wp14:editId="006ECC21">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37DA1" w:rsidRPr="009C5E28" w:rsidRDefault="00037DA1" w:rsidP="005D4236">
            <w:pPr>
              <w:spacing w:after="0"/>
              <w:jc w:val="center"/>
            </w:pPr>
            <w:r>
              <w:rPr>
                <w:noProof/>
                <w:lang w:eastAsia="de-DE"/>
              </w:rPr>
              <w:drawing>
                <wp:inline distT="0" distB="0" distL="0" distR="0" wp14:anchorId="3599CDFA" wp14:editId="687FCE4E">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7DA1" w:rsidRPr="009C5E28" w:rsidRDefault="00037DA1" w:rsidP="005D4236">
            <w:pPr>
              <w:spacing w:after="0"/>
              <w:jc w:val="center"/>
            </w:pPr>
            <w:r>
              <w:rPr>
                <w:noProof/>
                <w:lang w:eastAsia="de-DE"/>
              </w:rPr>
              <w:drawing>
                <wp:inline distT="0" distB="0" distL="0" distR="0" wp14:anchorId="0A1A6D84" wp14:editId="32E8190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37DA1" w:rsidRPr="009C5E28" w:rsidRDefault="00037DA1" w:rsidP="005D4236">
            <w:pPr>
              <w:spacing w:after="0"/>
              <w:jc w:val="center"/>
            </w:pPr>
            <w:r>
              <w:rPr>
                <w:noProof/>
                <w:lang w:eastAsia="de-DE"/>
              </w:rPr>
              <w:drawing>
                <wp:inline distT="0" distB="0" distL="0" distR="0" wp14:anchorId="0D13E9BF" wp14:editId="4FFB0892">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037DA1" w:rsidRDefault="00037DA1" w:rsidP="00037DA1">
      <w:pPr>
        <w:tabs>
          <w:tab w:val="left" w:pos="1701"/>
          <w:tab w:val="left" w:pos="1985"/>
        </w:tabs>
        <w:ind w:left="1980" w:hanging="1980"/>
      </w:pPr>
    </w:p>
    <w:p w:rsidR="00037DA1" w:rsidRDefault="00037DA1" w:rsidP="00037DA1">
      <w:pPr>
        <w:tabs>
          <w:tab w:val="left" w:pos="1701"/>
          <w:tab w:val="left" w:pos="1985"/>
        </w:tabs>
        <w:ind w:left="1980" w:hanging="1980"/>
      </w:pPr>
      <w:r>
        <w:t xml:space="preserve">Materialien: </w:t>
      </w:r>
      <w:r>
        <w:tab/>
      </w:r>
      <w:r>
        <w:tab/>
        <w:t>2 Kolbenprober, Schlauchstücke, Schlauchschellen, Verbrennungsrohr, Glaswolle, Bunsenbrenner</w:t>
      </w:r>
    </w:p>
    <w:p w:rsidR="00037DA1" w:rsidRPr="00ED07C2" w:rsidRDefault="00037DA1" w:rsidP="00037DA1">
      <w:pPr>
        <w:tabs>
          <w:tab w:val="left" w:pos="1701"/>
          <w:tab w:val="left" w:pos="1985"/>
        </w:tabs>
        <w:ind w:left="1980" w:hanging="1980"/>
      </w:pPr>
      <w:r>
        <w:t>Chemikalien:</w:t>
      </w:r>
      <w:r>
        <w:tab/>
      </w:r>
      <w:r>
        <w:tab/>
        <w:t>Butan, Kupfer(II)-oxid</w:t>
      </w:r>
    </w:p>
    <w:p w:rsidR="00037DA1" w:rsidRDefault="00037DA1" w:rsidP="00037DA1">
      <w:pPr>
        <w:tabs>
          <w:tab w:val="left" w:pos="1701"/>
          <w:tab w:val="left" w:pos="1985"/>
        </w:tabs>
        <w:ind w:left="1980" w:hanging="1980"/>
      </w:pPr>
      <w:r>
        <w:t xml:space="preserve">Durchführung: </w:t>
      </w:r>
      <w:r>
        <w:tab/>
      </w:r>
      <w:r>
        <w:tab/>
      </w:r>
      <w:r>
        <w:tab/>
        <w:t xml:space="preserve">Zunächst wird das Kupfer(II)-oxid querschnittsfüllend in das Verbrennungsrohr gegeben und dieses rechts und links mit Glaswolle verschlossen. Nun werden die Kolbenprober an beiden Seiten über Stopfen mit Glasröhrchen mit dem Verbrennungsrohr verbunden. In den einen Kolbenprober werden 20 </w:t>
      </w:r>
      <w:proofErr w:type="spellStart"/>
      <w:r>
        <w:t>mL</w:t>
      </w:r>
      <w:proofErr w:type="spellEnd"/>
      <w:r>
        <w:t xml:space="preserve"> Butangas gefüllt und dieser wird wieder an das Verbrennungsrohr geschlossen (s. Abb. 1). Nun wird das Kupfer(II)-oxid bis zum Glühen erhitzt und bei weiterem Erhitzen wird mehrmals vorsichtig das Butangas über das Kupfer(II)-oxid geleitet bis keine Volumenveränderung mehr erkennbar ist. Nach Abkühlen der Apparatur wird am Kolbenprober das Volumen abgelesen.</w:t>
      </w:r>
    </w:p>
    <w:p w:rsidR="00037DA1" w:rsidRDefault="00037DA1" w:rsidP="00037DA1">
      <w:pPr>
        <w:tabs>
          <w:tab w:val="left" w:pos="1701"/>
          <w:tab w:val="left" w:pos="1985"/>
        </w:tabs>
        <w:ind w:left="1980" w:hanging="1980"/>
      </w:pPr>
      <w:r>
        <w:rPr>
          <w:noProof/>
          <w:lang w:eastAsia="de-DE"/>
        </w:rPr>
        <w:lastRenderedPageBreak/>
        <w:drawing>
          <wp:inline distT="0" distB="0" distL="0" distR="0" wp14:anchorId="6C84AE1D" wp14:editId="39189003">
            <wp:extent cx="5760720" cy="18802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pferoxid.png"/>
                    <pic:cNvPicPr/>
                  </pic:nvPicPr>
                  <pic:blipFill>
                    <a:blip r:embed="rId14" cstate="print">
                      <a:extLst>
                        <a:ext uri="{28A0092B-C50C-407E-A947-70E740481C1C}">
                          <a14:useLocalDpi xmlns:a14="http://schemas.microsoft.com/office/drawing/2010/main"/>
                        </a:ext>
                      </a:extLst>
                    </a:blip>
                    <a:stretch>
                      <a:fillRect/>
                    </a:stretch>
                  </pic:blipFill>
                  <pic:spPr>
                    <a:xfrm>
                      <a:off x="0" y="0"/>
                      <a:ext cx="5760720" cy="1880235"/>
                    </a:xfrm>
                    <a:prstGeom prst="rect">
                      <a:avLst/>
                    </a:prstGeom>
                  </pic:spPr>
                </pic:pic>
              </a:graphicData>
            </a:graphic>
          </wp:inline>
        </w:drawing>
      </w:r>
    </w:p>
    <w:p w:rsidR="00037DA1" w:rsidRPr="00CF2E4D" w:rsidRDefault="00037DA1" w:rsidP="00037DA1">
      <w:pPr>
        <w:tabs>
          <w:tab w:val="left" w:pos="1701"/>
          <w:tab w:val="left" w:pos="1985"/>
        </w:tabs>
        <w:ind w:left="1980" w:hanging="1980"/>
        <w:rPr>
          <w:sz w:val="18"/>
          <w:szCs w:val="18"/>
        </w:rPr>
      </w:pPr>
      <w:r w:rsidRPr="00CF2E4D">
        <w:rPr>
          <w:sz w:val="18"/>
          <w:szCs w:val="18"/>
        </w:rPr>
        <w:t>Abb.1: Skizze des Versuchsaufbaus zu V1</w:t>
      </w:r>
    </w:p>
    <w:p w:rsidR="00037DA1" w:rsidRDefault="00037DA1" w:rsidP="00037DA1">
      <w:pPr>
        <w:tabs>
          <w:tab w:val="left" w:pos="1701"/>
          <w:tab w:val="left" w:pos="1985"/>
        </w:tabs>
        <w:ind w:left="1980" w:hanging="1980"/>
      </w:pPr>
      <w:r>
        <w:t>Beobachtung:</w:t>
      </w:r>
      <w:r>
        <w:tab/>
      </w:r>
      <w:r>
        <w:tab/>
      </w:r>
      <w:r>
        <w:tab/>
        <w:t xml:space="preserve">Beim Überleiten des Gases über das glühende Kupfer(II)-oxid vergrößert sich das Volumen im Kolbenprober. Am Ende des Versuchs wurde ein Volumen von 76 </w:t>
      </w:r>
      <w:proofErr w:type="spellStart"/>
      <w:r>
        <w:t>mL</w:t>
      </w:r>
      <w:proofErr w:type="spellEnd"/>
      <w:r>
        <w:t xml:space="preserve"> erreicht. Zudem ist eine rötliche Verfärbung des vorher schwarzen Kupferoxids zu erkennen.</w:t>
      </w:r>
    </w:p>
    <w:p w:rsidR="00037DA1" w:rsidRDefault="00037DA1" w:rsidP="00037DA1">
      <w:pPr>
        <w:tabs>
          <w:tab w:val="left" w:pos="1701"/>
          <w:tab w:val="left" w:pos="1843"/>
          <w:tab w:val="left" w:pos="1985"/>
        </w:tabs>
        <w:ind w:left="1985" w:hanging="2124"/>
      </w:pPr>
      <w:r>
        <w:t>Deutung:</w:t>
      </w:r>
      <w:r>
        <w:tab/>
      </w:r>
      <w:r>
        <w:tab/>
      </w:r>
      <w:r>
        <w:tab/>
        <w:t xml:space="preserve">Das Kupferoxid oxidiert das Butangas und es entstehen Kohlenstoffdioxid, Wasser und elementares Kuper. </w:t>
      </w:r>
    </w:p>
    <w:p w:rsidR="00037DA1" w:rsidRDefault="00037DA1" w:rsidP="00037DA1">
      <w:pPr>
        <w:tabs>
          <w:tab w:val="left" w:pos="1701"/>
          <w:tab w:val="left" w:pos="1985"/>
        </w:tabs>
        <w:ind w:left="2124" w:hanging="2124"/>
      </w:pPr>
      <w:r>
        <w:tab/>
      </w:r>
      <w:r>
        <w:tab/>
        <w:t xml:space="preserve">Reaktionsgleichung: </w:t>
      </w:r>
      <w:r w:rsidRPr="00FC2D57">
        <w:t xml:space="preserve">: </w:t>
      </w:r>
      <w:proofErr w:type="spellStart"/>
      <w:r w:rsidRPr="00FC2D57">
        <w:t>C</w:t>
      </w:r>
      <w:r w:rsidRPr="00FC2D57">
        <w:rPr>
          <w:vertAlign w:val="subscript"/>
        </w:rPr>
        <w:t>x</w:t>
      </w:r>
      <w:r w:rsidRPr="00FC2D57">
        <w:t>H</w:t>
      </w:r>
      <w:r w:rsidRPr="00FC2D57">
        <w:rPr>
          <w:vertAlign w:val="subscript"/>
        </w:rPr>
        <w:t>y</w:t>
      </w:r>
      <w:proofErr w:type="spellEnd"/>
      <w:r w:rsidRPr="00FC2D57">
        <w:t xml:space="preserve"> + z </w:t>
      </w:r>
      <w:proofErr w:type="spellStart"/>
      <w:r w:rsidRPr="00FC2D57">
        <w:t>CuO</w:t>
      </w:r>
      <w:proofErr w:type="spellEnd"/>
      <w:r w:rsidRPr="00FC2D57">
        <w:t xml:space="preserve"> </w:t>
      </w:r>
      <w:r w:rsidRPr="00FC2D57">
        <w:sym w:font="Wingdings" w:char="F0E0"/>
      </w:r>
      <w:r w:rsidRPr="00FC2D57">
        <w:t xml:space="preserve"> x CO</w:t>
      </w:r>
      <w:r w:rsidRPr="00FC2D57">
        <w:rPr>
          <w:vertAlign w:val="subscript"/>
        </w:rPr>
        <w:t>2</w:t>
      </w:r>
      <w:r w:rsidRPr="00FC2D57">
        <w:t xml:space="preserve"> + ½ y H</w:t>
      </w:r>
      <w:r w:rsidRPr="00FC2D57">
        <w:rPr>
          <w:vertAlign w:val="subscript"/>
        </w:rPr>
        <w:t>2</w:t>
      </w:r>
      <w:r w:rsidRPr="00FC2D57">
        <w:t xml:space="preserve">O + z </w:t>
      </w:r>
      <w:proofErr w:type="spellStart"/>
      <w:r w:rsidRPr="00FC2D57">
        <w:t>Cu</w:t>
      </w:r>
      <w:proofErr w:type="spellEnd"/>
    </w:p>
    <w:p w:rsidR="00037DA1" w:rsidRPr="00B63B8F" w:rsidRDefault="00037DA1" w:rsidP="00037DA1">
      <w:pPr>
        <w:tabs>
          <w:tab w:val="left" w:pos="1701"/>
          <w:tab w:val="left" w:pos="1985"/>
        </w:tabs>
        <w:ind w:left="1985" w:hanging="2124"/>
        <w:rPr>
          <w:rFonts w:asciiTheme="majorHAnsi" w:hAnsiTheme="majorHAnsi"/>
        </w:rPr>
      </w:pPr>
      <w:r w:rsidRPr="00B63B8F">
        <w:rPr>
          <w:rFonts w:asciiTheme="majorHAnsi" w:hAnsiTheme="majorHAnsi"/>
        </w:rPr>
        <w:tab/>
      </w:r>
      <w:r w:rsidRPr="00B63B8F">
        <w:rPr>
          <w:rFonts w:asciiTheme="majorHAnsi" w:hAnsiTheme="majorHAnsi"/>
        </w:rPr>
        <w:tab/>
        <w:t xml:space="preserve">Pro Mol des eingesetzten Kohlenstoffs </w:t>
      </w:r>
      <w:proofErr w:type="gramStart"/>
      <w:r w:rsidRPr="00B63B8F">
        <w:rPr>
          <w:rFonts w:asciiTheme="majorHAnsi" w:hAnsiTheme="majorHAnsi"/>
        </w:rPr>
        <w:t>entsteh</w:t>
      </w:r>
      <w:r>
        <w:rPr>
          <w:rFonts w:asciiTheme="majorHAnsi" w:hAnsiTheme="majorHAnsi"/>
        </w:rPr>
        <w:t>en</w:t>
      </w:r>
      <w:proofErr w:type="gramEnd"/>
      <w:r w:rsidRPr="00B63B8F">
        <w:rPr>
          <w:rFonts w:asciiTheme="majorHAnsi" w:hAnsiTheme="majorHAnsi"/>
        </w:rPr>
        <w:t xml:space="preserve"> also so viel Mol Kohlenstoffdioxid wie Kohlestoffatome im Gas vorhanden sind. Nun ergibt sich f</w:t>
      </w:r>
      <w:r>
        <w:rPr>
          <w:rFonts w:asciiTheme="majorHAnsi" w:hAnsiTheme="majorHAnsi"/>
        </w:rPr>
        <w:t>o</w:t>
      </w:r>
      <w:r w:rsidRPr="00B63B8F">
        <w:rPr>
          <w:rFonts w:asciiTheme="majorHAnsi" w:hAnsiTheme="majorHAnsi"/>
        </w:rPr>
        <w:t>lgende Berechnung:</w:t>
      </w:r>
    </w:p>
    <w:p w:rsidR="00037DA1" w:rsidRPr="00B63B8F" w:rsidRDefault="00037DA1" w:rsidP="00037DA1">
      <w:pPr>
        <w:tabs>
          <w:tab w:val="left" w:pos="1701"/>
          <w:tab w:val="left" w:pos="1985"/>
        </w:tabs>
        <w:ind w:left="1985" w:hanging="2124"/>
        <w:rPr>
          <w:rFonts w:asciiTheme="majorHAnsi" w:eastAsiaTheme="minorEastAsia" w:hAnsiTheme="majorHAnsi"/>
        </w:rPr>
      </w:pPr>
      <w:r w:rsidRPr="00B63B8F">
        <w:rPr>
          <w:rFonts w:asciiTheme="majorHAnsi" w:eastAsiaTheme="minorEastAsia" w:hAnsiTheme="majorHAnsi"/>
          <w:iCs/>
        </w:rPr>
        <w:tab/>
      </w:r>
      <w:r w:rsidRPr="00B63B8F">
        <w:rPr>
          <w:rFonts w:asciiTheme="majorHAnsi" w:eastAsiaTheme="minorEastAsia" w:hAnsiTheme="majorHAnsi"/>
          <w:iCs/>
        </w:rPr>
        <w:tab/>
      </w:r>
      <m:oMath>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n</m:t>
                </m:r>
              </m:e>
              <m:sub>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x</m:t>
                    </m:r>
                  </m:sub>
                </m:sSub>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y</m:t>
                    </m:r>
                  </m:sub>
                </m:sSub>
              </m:sub>
            </m:sSub>
          </m:num>
          <m:den>
            <m:sSub>
              <m:sSubPr>
                <m:ctrlPr>
                  <w:rPr>
                    <w:rFonts w:ascii="Cambria Math" w:eastAsiaTheme="minorEastAsia" w:hAnsi="Cambria Math"/>
                    <w:i/>
                    <w:iCs/>
                  </w:rPr>
                </m:ctrlPr>
              </m:sSubPr>
              <m:e>
                <m:r>
                  <w:rPr>
                    <w:rFonts w:ascii="Cambria Math" w:eastAsiaTheme="minorEastAsia" w:hAnsi="Cambria Math"/>
                  </w:rPr>
                  <m:t>n</m:t>
                </m:r>
              </m:e>
              <m:sub>
                <m:sSub>
                  <m:sSubPr>
                    <m:ctrlPr>
                      <w:rPr>
                        <w:rFonts w:ascii="Cambria Math" w:eastAsiaTheme="minorEastAsia" w:hAnsi="Cambria Math"/>
                        <w:i/>
                        <w:iCs/>
                      </w:rPr>
                    </m:ctrlPr>
                  </m:sSubPr>
                  <m:e>
                    <m:r>
                      <w:rPr>
                        <w:rFonts w:ascii="Cambria Math" w:eastAsiaTheme="minorEastAsia" w:hAnsi="Cambria Math"/>
                      </w:rPr>
                      <m:t>CO</m:t>
                    </m:r>
                  </m:e>
                  <m:sub>
                    <m:r>
                      <w:rPr>
                        <w:rFonts w:ascii="Cambria Math" w:eastAsiaTheme="minorEastAsia" w:hAnsi="Cambria Math"/>
                      </w:rPr>
                      <m:t>2</m:t>
                    </m:r>
                  </m:sub>
                </m:sSub>
              </m:sub>
            </m:sSub>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m:t>
            </m:r>
          </m:den>
        </m:f>
      </m:oMath>
      <w:r w:rsidRPr="00B63B8F">
        <w:rPr>
          <w:rFonts w:asciiTheme="majorHAnsi" w:eastAsiaTheme="minorEastAsia" w:hAnsiTheme="majorHAnsi"/>
        </w:rPr>
        <w:t xml:space="preserve"> </w:t>
      </w:r>
      <w:r w:rsidRPr="00B63B8F">
        <w:rPr>
          <w:rFonts w:asciiTheme="majorHAnsi" w:eastAsiaTheme="minorEastAsia" w:hAnsiTheme="majorHAnsi"/>
        </w:rPr>
        <w:sym w:font="Wingdings" w:char="F0E0"/>
      </w:r>
      <w:r w:rsidRPr="00B63B8F">
        <w:rPr>
          <w:rFonts w:asciiTheme="majorHAnsi" w:eastAsiaTheme="minorEastAsia" w:hAnsiTheme="majorHAnsi"/>
        </w:rPr>
        <w:t xml:space="preserve"> </w:t>
      </w:r>
      <m:oMath>
        <m:r>
          <w:rPr>
            <w:rFonts w:ascii="Cambria Math" w:eastAsiaTheme="minorEastAsia" w:hAnsi="Cambria Math"/>
          </w:rPr>
          <m:t>x=</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n</m:t>
                </m:r>
              </m:e>
              <m:sub>
                <m:sSub>
                  <m:sSubPr>
                    <m:ctrlPr>
                      <w:rPr>
                        <w:rFonts w:ascii="Cambria Math" w:eastAsiaTheme="minorEastAsia" w:hAnsi="Cambria Math"/>
                        <w:i/>
                        <w:iCs/>
                      </w:rPr>
                    </m:ctrlPr>
                  </m:sSubPr>
                  <m:e>
                    <m:r>
                      <w:rPr>
                        <w:rFonts w:ascii="Cambria Math" w:eastAsiaTheme="minorEastAsia" w:hAnsi="Cambria Math"/>
                      </w:rPr>
                      <m:t>CO</m:t>
                    </m:r>
                  </m:e>
                  <m:sub>
                    <m:r>
                      <w:rPr>
                        <w:rFonts w:ascii="Cambria Math" w:eastAsiaTheme="minorEastAsia" w:hAnsi="Cambria Math"/>
                      </w:rPr>
                      <m:t>2</m:t>
                    </m:r>
                  </m:sub>
                </m:sSub>
              </m:sub>
            </m:sSub>
          </m:num>
          <m:den>
            <m:sSub>
              <m:sSubPr>
                <m:ctrlPr>
                  <w:rPr>
                    <w:rFonts w:ascii="Cambria Math" w:eastAsiaTheme="minorEastAsia" w:hAnsi="Cambria Math"/>
                    <w:i/>
                    <w:iCs/>
                  </w:rPr>
                </m:ctrlPr>
              </m:sSubPr>
              <m:e>
                <m:r>
                  <w:rPr>
                    <w:rFonts w:ascii="Cambria Math" w:eastAsiaTheme="minorEastAsia" w:hAnsi="Cambria Math"/>
                  </w:rPr>
                  <m:t>n</m:t>
                </m:r>
              </m:e>
              <m:sub>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x</m:t>
                    </m:r>
                  </m:sub>
                </m:sSub>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y</m:t>
                    </m:r>
                  </m:sub>
                </m:sSub>
              </m:sub>
            </m:sSub>
          </m:den>
        </m:f>
      </m:oMath>
      <w:r w:rsidRPr="00B63B8F">
        <w:rPr>
          <w:rFonts w:asciiTheme="majorHAnsi" w:eastAsiaTheme="minorEastAsia" w:hAnsiTheme="majorHAnsi"/>
        </w:rPr>
        <w:t xml:space="preserve"> und da </w:t>
      </w:r>
      <m:oMath>
        <m:r>
          <w:rPr>
            <w:rFonts w:ascii="Cambria Math" w:eastAsiaTheme="minorEastAsia" w:hAnsi="Cambria Math"/>
          </w:rPr>
          <m:t>n=</m:t>
        </m:r>
        <m:f>
          <m:fPr>
            <m:ctrlPr>
              <w:rPr>
                <w:rFonts w:ascii="Cambria Math" w:eastAsiaTheme="minorEastAsia" w:hAnsi="Cambria Math"/>
                <w:i/>
                <w:iCs/>
              </w:rPr>
            </m:ctrlPr>
          </m:fPr>
          <m:num>
            <m:r>
              <w:rPr>
                <w:rFonts w:ascii="Cambria Math" w:eastAsiaTheme="minorEastAsia" w:hAnsi="Cambria Math"/>
              </w:rPr>
              <m:t>V</m:t>
            </m:r>
          </m:num>
          <m:den>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m</m:t>
                </m:r>
              </m:sub>
            </m:sSub>
          </m:den>
        </m:f>
      </m:oMath>
    </w:p>
    <w:p w:rsidR="00037DA1" w:rsidRPr="00B63B8F" w:rsidRDefault="00037DA1" w:rsidP="00037DA1">
      <w:pPr>
        <w:tabs>
          <w:tab w:val="left" w:pos="1701"/>
          <w:tab w:val="left" w:pos="1985"/>
        </w:tabs>
        <w:ind w:left="1985" w:hanging="2124"/>
        <w:rPr>
          <w:rFonts w:asciiTheme="majorHAnsi" w:eastAsiaTheme="minorEastAsia" w:hAnsiTheme="majorHAnsi"/>
        </w:rPr>
      </w:pPr>
      <w:r w:rsidRPr="00B63B8F">
        <w:rPr>
          <w:rFonts w:asciiTheme="majorHAnsi" w:eastAsiaTheme="minorEastAsia" w:hAnsiTheme="majorHAnsi"/>
        </w:rPr>
        <w:tab/>
      </w:r>
      <w:r w:rsidRPr="00B63B8F">
        <w:rPr>
          <w:rFonts w:asciiTheme="majorHAnsi" w:eastAsiaTheme="minorEastAsia" w:hAnsiTheme="majorHAnsi"/>
        </w:rPr>
        <w:tab/>
      </w:r>
      <w:r w:rsidRPr="00B63B8F">
        <w:rPr>
          <w:rFonts w:asciiTheme="majorHAnsi" w:eastAsiaTheme="minorEastAsia" w:hAnsiTheme="majorHAnsi"/>
        </w:rPr>
        <w:sym w:font="Wingdings" w:char="F0E0"/>
      </w:r>
      <w:r w:rsidRPr="00B63B8F">
        <w:rPr>
          <w:rFonts w:asciiTheme="majorHAnsi" w:eastAsiaTheme="minorEastAsia" w:hAnsiTheme="majorHAnsi"/>
        </w:rPr>
        <w:t xml:space="preserve"> </w:t>
      </w:r>
      <m:oMath>
        <m:r>
          <w:rPr>
            <w:rFonts w:ascii="Cambria Math" w:eastAsiaTheme="minorEastAsia" w:hAnsi="Cambria Math"/>
          </w:rPr>
          <m:t>x=</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V</m:t>
                </m:r>
              </m:e>
              <m:sub>
                <m:sSub>
                  <m:sSubPr>
                    <m:ctrlPr>
                      <w:rPr>
                        <w:rFonts w:ascii="Cambria Math" w:eastAsiaTheme="minorEastAsia" w:hAnsi="Cambria Math"/>
                        <w:i/>
                        <w:iCs/>
                      </w:rPr>
                    </m:ctrlPr>
                  </m:sSubPr>
                  <m:e>
                    <m:r>
                      <w:rPr>
                        <w:rFonts w:ascii="Cambria Math" w:eastAsiaTheme="minorEastAsia" w:hAnsi="Cambria Math"/>
                      </w:rPr>
                      <m:t>CO</m:t>
                    </m:r>
                  </m:e>
                  <m:sub>
                    <m:r>
                      <w:rPr>
                        <w:rFonts w:ascii="Cambria Math" w:eastAsiaTheme="minorEastAsia" w:hAnsi="Cambria Math"/>
                      </w:rPr>
                      <m:t>2</m:t>
                    </m:r>
                  </m:sub>
                </m:sSub>
              </m:sub>
            </m:sSub>
          </m:num>
          <m:den>
            <m:sSub>
              <m:sSubPr>
                <m:ctrlPr>
                  <w:rPr>
                    <w:rFonts w:ascii="Cambria Math" w:eastAsiaTheme="minorEastAsia" w:hAnsi="Cambria Math"/>
                    <w:i/>
                    <w:iCs/>
                  </w:rPr>
                </m:ctrlPr>
              </m:sSubPr>
              <m:e>
                <m:r>
                  <w:rPr>
                    <w:rFonts w:ascii="Cambria Math" w:eastAsiaTheme="minorEastAsia" w:hAnsi="Cambria Math"/>
                  </w:rPr>
                  <m:t>V</m:t>
                </m:r>
              </m:e>
              <m:sub>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x</m:t>
                    </m:r>
                  </m:sub>
                </m:sSub>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y</m:t>
                    </m:r>
                  </m:sub>
                </m:sSub>
              </m:sub>
            </m:sSub>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76 mL</m:t>
            </m:r>
          </m:num>
          <m:den>
            <m:r>
              <w:rPr>
                <w:rFonts w:ascii="Cambria Math" w:eastAsiaTheme="minorEastAsia" w:hAnsi="Cambria Math"/>
              </w:rPr>
              <m:t>20 mL</m:t>
            </m:r>
          </m:den>
        </m:f>
        <m:r>
          <w:rPr>
            <w:rFonts w:ascii="Cambria Math" w:eastAsiaTheme="minorEastAsia" w:hAnsi="Cambria Math"/>
          </w:rPr>
          <m:t>=3,8 ≈4</m:t>
        </m:r>
      </m:oMath>
    </w:p>
    <w:p w:rsidR="00037DA1" w:rsidRDefault="00037DA1" w:rsidP="00037DA1">
      <w:pPr>
        <w:tabs>
          <w:tab w:val="left" w:pos="1701"/>
          <w:tab w:val="left" w:pos="1985"/>
        </w:tabs>
        <w:ind w:left="1985" w:hanging="2124"/>
        <w:rPr>
          <w:rFonts w:asciiTheme="majorHAnsi" w:eastAsiaTheme="minorEastAsia" w:hAnsiTheme="majorHAnsi"/>
        </w:rPr>
      </w:pPr>
      <w:r w:rsidRPr="00B63B8F">
        <w:rPr>
          <w:rFonts w:asciiTheme="majorHAnsi" w:eastAsiaTheme="minorEastAsia" w:hAnsiTheme="majorHAnsi"/>
        </w:rPr>
        <w:tab/>
      </w:r>
      <w:r w:rsidRPr="00B63B8F">
        <w:rPr>
          <w:rFonts w:asciiTheme="majorHAnsi" w:eastAsiaTheme="minorEastAsia" w:hAnsiTheme="majorHAnsi"/>
        </w:rPr>
        <w:tab/>
        <w:t>Das Gas enthält 4 Kohlenstoffatome, es handelt sich folglich um Butan.</w:t>
      </w:r>
    </w:p>
    <w:p w:rsidR="00037DA1" w:rsidRDefault="00037DA1" w:rsidP="00037DA1">
      <w:pPr>
        <w:tabs>
          <w:tab w:val="left" w:pos="1701"/>
          <w:tab w:val="left" w:pos="1985"/>
        </w:tabs>
        <w:ind w:left="1985" w:hanging="2124"/>
        <w:rPr>
          <w:rFonts w:asciiTheme="majorHAnsi" w:eastAsiaTheme="minorEastAsia" w:hAnsiTheme="majorHAnsi"/>
          <w:u w:val="single"/>
        </w:rPr>
      </w:pPr>
      <w:r>
        <w:rPr>
          <w:rFonts w:asciiTheme="majorHAnsi" w:eastAsiaTheme="minorEastAsia" w:hAnsiTheme="majorHAnsi"/>
        </w:rPr>
        <w:tab/>
      </w:r>
      <w:r>
        <w:rPr>
          <w:rFonts w:asciiTheme="majorHAnsi" w:eastAsiaTheme="minorEastAsia" w:hAnsiTheme="majorHAnsi"/>
        </w:rPr>
        <w:tab/>
      </w:r>
      <w:r w:rsidRPr="00B70418">
        <w:rPr>
          <w:rFonts w:asciiTheme="majorHAnsi" w:eastAsiaTheme="minorEastAsia" w:hAnsiTheme="majorHAnsi"/>
          <w:u w:val="single"/>
        </w:rPr>
        <w:t>Fehlerbetrachtung:</w:t>
      </w:r>
    </w:p>
    <w:p w:rsidR="00037DA1" w:rsidRPr="00CF2E4D" w:rsidRDefault="00037DA1" w:rsidP="00037DA1">
      <w:pPr>
        <w:tabs>
          <w:tab w:val="left" w:pos="1701"/>
          <w:tab w:val="left" w:pos="1985"/>
        </w:tabs>
        <w:ind w:left="1985" w:hanging="2124"/>
        <w:rPr>
          <w:rFonts w:asciiTheme="majorHAnsi" w:eastAsiaTheme="minorEastAsia" w:hAnsiTheme="majorHAnsi"/>
        </w:rPr>
      </w:pPr>
      <w:r w:rsidRPr="00CF2E4D">
        <w:rPr>
          <w:rFonts w:asciiTheme="majorHAnsi" w:eastAsiaTheme="minorEastAsia" w:hAnsiTheme="majorHAnsi"/>
        </w:rPr>
        <w:tab/>
      </w:r>
      <w:r w:rsidRPr="00CF2E4D">
        <w:rPr>
          <w:rFonts w:asciiTheme="majorHAnsi" w:eastAsiaTheme="minorEastAsia" w:hAnsiTheme="majorHAnsi"/>
        </w:rPr>
        <w:tab/>
        <w:t xml:space="preserve">Mögliche Fehlerquellen bei diesem Versuch könnten sein, dass die Apparatur undicht war und somit ein Teil des </w:t>
      </w:r>
      <w:r>
        <w:rPr>
          <w:rFonts w:asciiTheme="majorHAnsi" w:eastAsiaTheme="minorEastAsia" w:hAnsiTheme="majorHAnsi"/>
        </w:rPr>
        <w:t>Butan-</w:t>
      </w:r>
      <w:r w:rsidRPr="00CF2E4D">
        <w:rPr>
          <w:rFonts w:asciiTheme="majorHAnsi" w:eastAsiaTheme="minorEastAsia" w:hAnsiTheme="majorHAnsi"/>
        </w:rPr>
        <w:t>Gases entwichen ist</w:t>
      </w:r>
      <w:r>
        <w:rPr>
          <w:rFonts w:asciiTheme="majorHAnsi" w:eastAsiaTheme="minorEastAsia" w:hAnsiTheme="majorHAnsi"/>
        </w:rPr>
        <w:t>. Denkbar ist außerdem, dass die Verbindungen nicht vollständig reagiert haben</w:t>
      </w:r>
      <w:r w:rsidRPr="00CF2E4D">
        <w:rPr>
          <w:rFonts w:asciiTheme="majorHAnsi" w:eastAsiaTheme="minorEastAsia" w:hAnsiTheme="majorHAnsi"/>
        </w:rPr>
        <w:t xml:space="preserve">, </w:t>
      </w:r>
      <w:r>
        <w:rPr>
          <w:rFonts w:asciiTheme="majorHAnsi" w:eastAsiaTheme="minorEastAsia" w:hAnsiTheme="majorHAnsi"/>
        </w:rPr>
        <w:t>was</w:t>
      </w:r>
      <w:r w:rsidRPr="00CF2E4D">
        <w:rPr>
          <w:rFonts w:asciiTheme="majorHAnsi" w:eastAsiaTheme="minorEastAsia" w:hAnsiTheme="majorHAnsi"/>
        </w:rPr>
        <w:t xml:space="preserve"> dazu führen würde, dass </w:t>
      </w:r>
      <w:r>
        <w:rPr>
          <w:rFonts w:asciiTheme="majorHAnsi" w:eastAsiaTheme="minorEastAsia" w:hAnsiTheme="majorHAnsi"/>
        </w:rPr>
        <w:t>weniger Kohlenstoffdioxid  entsteht als angenommen. Dies würde zur Berechnung einer geringeren Anzahl an Kohlenstoffatomen führen.</w:t>
      </w:r>
    </w:p>
    <w:p w:rsidR="00037DA1" w:rsidRPr="00E933C3" w:rsidRDefault="00037DA1" w:rsidP="00037DA1">
      <w:pPr>
        <w:tabs>
          <w:tab w:val="left" w:pos="1701"/>
        </w:tabs>
        <w:jc w:val="left"/>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 xml:space="preserve">Absoluter Fehler: </w:t>
      </w:r>
      <w:r>
        <w:rPr>
          <w:rFonts w:ascii="Cambria Math" w:hAnsi="Cambria Math"/>
        </w:rPr>
        <w:br/>
      </w:r>
      <w:r>
        <w:rPr>
          <w:rFonts w:asciiTheme="majorHAnsi" w:eastAsiaTheme="minorEastAsia" w:hAnsiTheme="majorHAnsi"/>
        </w:rPr>
        <w:tab/>
      </w:r>
      <w:r>
        <w:rPr>
          <w:rFonts w:asciiTheme="majorHAnsi" w:eastAsiaTheme="minorEastAsia" w:hAnsiTheme="majorHAnsi"/>
        </w:rPr>
        <w:tab/>
      </w:r>
      <m:oMath>
        <m:sSub>
          <m:sSubPr>
            <m:ctrlPr>
              <w:rPr>
                <w:rFonts w:ascii="Cambria Math" w:hAnsi="Cambria Math"/>
              </w:rPr>
            </m:ctrlPr>
          </m:sSubPr>
          <m:e>
            <m:r>
              <w:rPr>
                <w:rFonts w:ascii="Cambria Math" w:hAnsi="Cambria Math"/>
              </w:rPr>
              <m:t>Δ</m:t>
            </m:r>
          </m:e>
          <m:sub>
            <m:r>
              <m:rPr>
                <m:nor/>
              </m:rPr>
              <m:t>abs</m:t>
            </m:r>
          </m:sub>
        </m:sSub>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Lit</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Mess</m:t>
                </m:r>
              </m:sub>
            </m:sSub>
          </m:e>
        </m:d>
        <m:r>
          <w:rPr>
            <w:rFonts w:ascii="Cambria Math" w:hAnsi="Cambria Math"/>
          </w:rPr>
          <m:t>=</m:t>
        </m:r>
        <m:d>
          <m:dPr>
            <m:begChr m:val="∣"/>
            <m:endChr m:val="∣"/>
            <m:ctrlPr>
              <w:rPr>
                <w:rFonts w:ascii="Cambria Math" w:hAnsi="Cambria Math"/>
              </w:rPr>
            </m:ctrlPr>
          </m:dPr>
          <m:e>
            <m:r>
              <m:rPr>
                <m:sty m:val="p"/>
              </m:rPr>
              <w:rPr>
                <w:rFonts w:ascii="Cambria Math" w:hAnsi="Cambria Math"/>
              </w:rPr>
              <m:t>4-3,8</m:t>
            </m:r>
          </m:e>
        </m:d>
        <m:r>
          <w:rPr>
            <w:rFonts w:ascii="Cambria Math" w:hAnsi="Cambria Math"/>
          </w:rPr>
          <m:t>=</m:t>
        </m:r>
        <m:r>
          <m:rPr>
            <m:sty m:val="p"/>
          </m:rPr>
          <w:rPr>
            <w:rFonts w:ascii="Cambria Math" w:hAnsi="Cambria Math"/>
          </w:rPr>
          <m:t>0,2</m:t>
        </m:r>
      </m:oMath>
    </w:p>
    <w:p w:rsidR="00037DA1" w:rsidRDefault="00037DA1" w:rsidP="00037DA1">
      <w:pPr>
        <w:tabs>
          <w:tab w:val="left" w:pos="1701"/>
          <w:tab w:val="left" w:pos="1985"/>
        </w:tabs>
        <w:ind w:left="1985" w:hanging="2124"/>
        <w:rPr>
          <w:rFonts w:asciiTheme="majorHAnsi" w:eastAsiaTheme="minorEastAsia" w:hAnsiTheme="majorHAnsi"/>
        </w:rPr>
      </w:pPr>
    </w:p>
    <w:p w:rsidR="00037DA1" w:rsidRDefault="00037DA1" w:rsidP="00037DA1">
      <w:pPr>
        <w:tabs>
          <w:tab w:val="left" w:pos="1701"/>
          <w:tab w:val="left" w:pos="1985"/>
        </w:tabs>
        <w:ind w:left="1985" w:hanging="2124"/>
        <w:jc w:val="left"/>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Relativer Fehler:</w:t>
      </w:r>
    </w:p>
    <w:p w:rsidR="00037DA1" w:rsidRDefault="00037DA1" w:rsidP="00037DA1">
      <w:pPr>
        <w:tabs>
          <w:tab w:val="left" w:pos="1701"/>
          <w:tab w:val="left" w:pos="1985"/>
        </w:tabs>
        <w:ind w:left="1985" w:hanging="2124"/>
        <w:jc w:val="left"/>
        <w:rPr>
          <w:sz w:val="24"/>
          <w:szCs w:val="24"/>
        </w:rPr>
      </w:pPr>
      <m:oMathPara>
        <m:oMathParaPr>
          <m:jc m:val="left"/>
        </m:oMathParaPr>
        <m:oMath>
          <m:sSub>
            <m:sSubPr>
              <m:ctrlPr>
                <w:rPr>
                  <w:rFonts w:ascii="Cambria Math" w:hAnsi="Cambria Math"/>
                </w:rPr>
              </m:ctrlPr>
            </m:sSubPr>
            <m:e>
              <m:r>
                <w:rPr>
                  <w:rFonts w:ascii="Cambria Math" w:hAnsi="Cambria Math"/>
                </w:rPr>
                <m:t>Δ</m:t>
              </m:r>
            </m:e>
            <m:sub>
              <m:r>
                <m:rPr>
                  <m:sty m:val="p"/>
                </m:rPr>
                <w:rPr>
                  <w:rFonts w:ascii="Cambria Math" w:hAnsi="Cambria Math"/>
                </w:rPr>
                <m:t>rel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Δ</m:t>
                  </m:r>
                </m:e>
                <m:sub>
                  <m:r>
                    <m:rPr>
                      <m:nor/>
                    </m:rPr>
                    <m:t>abs</m:t>
                  </m:r>
                </m:sub>
              </m:sSub>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Lit</m:t>
                  </m:r>
                </m:sub>
              </m:sSub>
            </m:den>
          </m:f>
          <m:r>
            <w:rPr>
              <w:rFonts w:ascii="Cambria Math" w:hAnsi="Cambria Math"/>
            </w:rPr>
            <m:t>⋅100</m:t>
          </m:r>
          <m:r>
            <m:rPr>
              <m:nor/>
            </m:rPr>
            <m:t>%</m:t>
          </m:r>
          <m:r>
            <w:rPr>
              <w:rFonts w:ascii="Cambria Math" w:hAnsi="Cambria Math"/>
            </w:rPr>
            <m:t>=</m:t>
          </m:r>
          <m:f>
            <m:fPr>
              <m:ctrlPr>
                <w:rPr>
                  <w:rFonts w:ascii="Cambria Math" w:hAnsi="Cambria Math"/>
                </w:rPr>
              </m:ctrlPr>
            </m:fPr>
            <m:num>
              <m:r>
                <m:rPr>
                  <m:sty m:val="p"/>
                </m:rPr>
                <w:rPr>
                  <w:rFonts w:ascii="Cambria Math" w:hAnsi="Cambria Math"/>
                </w:rPr>
                <m:t>0,2</m:t>
              </m:r>
            </m:num>
            <m:den>
              <m:r>
                <m:rPr>
                  <m:sty m:val="p"/>
                </m:rPr>
                <w:rPr>
                  <w:rFonts w:ascii="Cambria Math" w:hAnsi="Cambria Math"/>
                </w:rPr>
                <m:t>4</m:t>
              </m:r>
            </m:den>
          </m:f>
          <m:r>
            <w:rPr>
              <w:rFonts w:ascii="Cambria Math" w:hAnsi="Cambria Math"/>
            </w:rPr>
            <m:t>⋅100</m:t>
          </m:r>
          <m:r>
            <m:rPr>
              <m:nor/>
            </m:rPr>
            <m:t>%</m:t>
          </m:r>
          <m:r>
            <w:rPr>
              <w:rFonts w:ascii="Cambria Math" w:hAnsi="Cambria Math"/>
            </w:rPr>
            <m:t>=</m:t>
          </m:r>
          <m:r>
            <m:rPr>
              <m:sty m:val="p"/>
            </m:rPr>
            <w:rPr>
              <w:rFonts w:ascii="Cambria Math" w:hAnsi="Cambria Math"/>
            </w:rPr>
            <m:t>5</m:t>
          </m:r>
          <m:r>
            <m:rPr>
              <m:nor/>
            </m:rPr>
            <m:t>%</m:t>
          </m:r>
        </m:oMath>
      </m:oMathPara>
    </w:p>
    <w:p w:rsidR="00037DA1" w:rsidRPr="00B63B8F" w:rsidRDefault="00037DA1" w:rsidP="00037DA1">
      <w:pPr>
        <w:tabs>
          <w:tab w:val="left" w:pos="1701"/>
          <w:tab w:val="left" w:pos="1985"/>
        </w:tabs>
        <w:ind w:left="1985" w:hanging="2124"/>
        <w:jc w:val="left"/>
        <w:rPr>
          <w:rFonts w:asciiTheme="majorHAnsi" w:eastAsiaTheme="minorEastAsia" w:hAnsiTheme="majorHAnsi"/>
        </w:rPr>
      </w:pPr>
    </w:p>
    <w:p w:rsidR="00037DA1" w:rsidRPr="00B63B8F" w:rsidRDefault="00037DA1" w:rsidP="00037DA1">
      <w:pPr>
        <w:tabs>
          <w:tab w:val="left" w:pos="1418"/>
        </w:tabs>
        <w:rPr>
          <w:rFonts w:asciiTheme="majorHAnsi" w:hAnsiTheme="majorHAnsi"/>
        </w:rPr>
      </w:pPr>
      <w:r w:rsidRPr="00B63B8F">
        <w:rPr>
          <w:rFonts w:asciiTheme="majorHAnsi" w:hAnsiTheme="majorHAnsi"/>
        </w:rPr>
        <w:t>Entsorgung:</w:t>
      </w:r>
      <w:r w:rsidRPr="00B63B8F">
        <w:rPr>
          <w:rFonts w:asciiTheme="majorHAnsi" w:hAnsiTheme="majorHAnsi"/>
        </w:rPr>
        <w:tab/>
        <w:t xml:space="preserve">           Das entstandene Kupfer kann mit Luftsauerstoff unter Erhitzen wieder zu </w:t>
      </w:r>
      <w:r w:rsidRPr="00B63B8F">
        <w:rPr>
          <w:rFonts w:asciiTheme="majorHAnsi" w:hAnsiTheme="majorHAnsi"/>
        </w:rPr>
        <w:tab/>
        <w:t xml:space="preserve">           Kupfer(II)-oxid oxidiert und wiederverwendet werden.</w:t>
      </w:r>
    </w:p>
    <w:p w:rsidR="00037DA1" w:rsidRPr="005B60E3" w:rsidRDefault="00037DA1" w:rsidP="00037DA1">
      <w:pPr>
        <w:tabs>
          <w:tab w:val="left" w:pos="1276"/>
        </w:tabs>
        <w:rPr>
          <w:rFonts w:asciiTheme="majorHAnsi" w:eastAsiaTheme="majorEastAsia" w:hAnsiTheme="majorHAnsi" w:cstheme="majorBidi"/>
          <w:b/>
          <w:bCs/>
          <w:sz w:val="28"/>
          <w:szCs w:val="28"/>
        </w:rPr>
      </w:pPr>
      <w:r>
        <w:t>Literatur:</w:t>
      </w:r>
      <w:r>
        <w:tab/>
      </w:r>
      <w:r>
        <w:tab/>
      </w:r>
      <w:r>
        <w:tab/>
        <w:t xml:space="preserve">W. Glöckner, W. Jansen, R.G. </w:t>
      </w:r>
      <w:proofErr w:type="spellStart"/>
      <w:r>
        <w:t>Weissenhorn</w:t>
      </w:r>
      <w:proofErr w:type="spellEnd"/>
      <w:r>
        <w:t xml:space="preserve"> (Hrsg.), Handbuch der </w:t>
      </w:r>
      <w:proofErr w:type="spellStart"/>
      <w:r>
        <w:t>experi</w:t>
      </w:r>
      <w:proofErr w:type="spellEnd"/>
      <w:r>
        <w:tab/>
      </w:r>
      <w:r>
        <w:tab/>
      </w:r>
      <w:r>
        <w:tab/>
      </w:r>
      <w:proofErr w:type="spellStart"/>
      <w:r>
        <w:t>mentellen</w:t>
      </w:r>
      <w:proofErr w:type="spellEnd"/>
      <w:r>
        <w:t xml:space="preserve"> Chemie – Sekundarstufe II, Band 9: Kohlenwasserstoffe, Alius </w:t>
      </w:r>
      <w:r>
        <w:tab/>
      </w:r>
      <w:r>
        <w:tab/>
      </w:r>
      <w:r>
        <w:tab/>
        <w:t xml:space="preserve">Verlag </w:t>
      </w:r>
      <w:proofErr w:type="spellStart"/>
      <w:r>
        <w:t>Deubner</w:t>
      </w:r>
      <w:proofErr w:type="spellEnd"/>
      <w:r>
        <w:t>, 2005, S. 58 ff</w:t>
      </w:r>
      <w:r>
        <w:tab/>
      </w:r>
    </w:p>
    <w:p w:rsidR="00037DA1" w:rsidRPr="00B937A2" w:rsidRDefault="00037DA1" w:rsidP="00037DA1">
      <w:pPr>
        <w:rPr>
          <w:rFonts w:asciiTheme="majorHAnsi" w:hAnsiTheme="majorHAnsi"/>
        </w:rPr>
      </w:pPr>
    </w:p>
    <w:p w:rsidR="00037DA1" w:rsidRPr="006E32AF" w:rsidRDefault="00037DA1" w:rsidP="00037DA1">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7E599821" wp14:editId="4E2E3069">
                <wp:extent cx="5873115" cy="828040"/>
                <wp:effectExtent l="13970" t="14605" r="8890" b="14605"/>
                <wp:docPr id="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80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7DA1" w:rsidRPr="00B63B8F" w:rsidRDefault="00037DA1" w:rsidP="00037DA1">
                            <w:pPr>
                              <w:rPr>
                                <w:color w:val="auto"/>
                              </w:rPr>
                            </w:pPr>
                            <w:r w:rsidRPr="00B63B8F">
                              <w:rPr>
                                <w:color w:val="auto"/>
                              </w:rPr>
                              <w:t>Im Anschluss an diesen Versuch kann noch ein weiterer zur quantitativen Bestimmung der Wasserstoffatome durchgeführt werden, so dass eine komplette Analyse eines Kohlenwasserstoffs durchgeführt wurde.</w:t>
                            </w:r>
                          </w:p>
                        </w:txbxContent>
                      </wps:txbx>
                      <wps:bodyPr rot="0" vert="horz" wrap="square" lIns="91440" tIns="45720" rIns="91440" bIns="45720" anchor="t" anchorCtr="0" upright="1">
                        <a:noAutofit/>
                      </wps:bodyPr>
                    </wps:wsp>
                  </a:graphicData>
                </a:graphic>
              </wp:inline>
            </w:drawing>
          </mc:Choice>
          <mc:Fallback>
            <w:pict>
              <v:shape w14:anchorId="7E599821" id="Text Box 131" o:spid="_x0000_s1027" type="#_x0000_t202" style="width:462.45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" fillcolor="white [3201]" strokecolor="#ed7d31 [3205]" strokeweight="1pt">
                <v:stroke dashstyle="dash"/>
                <v:shadow color="#868686"/>
                <v:textbox>
                  <w:txbxContent>
                    <w:p w:rsidR="00037DA1" w:rsidRPr="00B63B8F" w:rsidRDefault="00037DA1" w:rsidP="00037DA1">
                      <w:pPr>
                        <w:rPr>
                          <w:color w:val="auto"/>
                        </w:rPr>
                      </w:pPr>
                      <w:r w:rsidRPr="00B63B8F">
                        <w:rPr>
                          <w:color w:val="auto"/>
                        </w:rPr>
                        <w:t>Im Anschluss an diesen Versuch kann noch ein weiterer zur quantitativen Bestimmung der Wasserstoffatome durchgeführt werden, so dass eine komplette Analyse eines Kohlenwasserstoffs durchgeführt wurde.</w:t>
                      </w:r>
                    </w:p>
                  </w:txbxContent>
                </v:textbox>
                <w10:anchorlock/>
              </v:shape>
            </w:pict>
          </mc:Fallback>
        </mc:AlternateContent>
      </w:r>
    </w:p>
    <w:p w:rsidR="002F6050" w:rsidRDefault="00037DA1"/>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A1"/>
    <w:rsid w:val="00037DA1"/>
    <w:rsid w:val="00AF24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C1C8C-C500-42FB-906D-C3C7C29D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7DA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37DA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37DA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37DA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37DA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37DA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37DA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37DA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7DA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37DA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7DA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37DA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37DA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37DA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37DA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37DA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37DA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7DA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7DA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37DA1"/>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2015-08-26T19:01:00Z</dcterms:created>
  <dcterms:modified xsi:type="dcterms:W3CDTF">2015-08-26T19:01:00Z</dcterms:modified>
</cp:coreProperties>
</file>