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2B" w:rsidRDefault="008B662B" w:rsidP="008B662B">
      <w:pPr>
        <w:pStyle w:val="berschrift1"/>
        <w:numPr>
          <w:ilvl w:val="0"/>
          <w:numId w:val="0"/>
        </w:numPr>
        <w:ind w:left="432"/>
      </w:pPr>
      <w:bookmarkStart w:id="0" w:name="_Toc428006308"/>
      <w:bookmarkStart w:id="1" w:name="_GoBack"/>
      <w:bookmarkEnd w:id="1"/>
      <w:r>
        <w:t>Schülerversuch – V1 - Elementaranalyse eines Kohlenwasserstoffs</w:t>
      </w:r>
      <w:bookmarkEnd w:id="0"/>
    </w:p>
    <w:p w:rsidR="008B662B" w:rsidRDefault="008B662B" w:rsidP="008B662B">
      <w:pPr>
        <w:pStyle w:val="berschrift2"/>
        <w:numPr>
          <w:ilvl w:val="0"/>
          <w:numId w:val="0"/>
        </w:numPr>
      </w:pPr>
      <w:bookmarkStart w:id="2" w:name="_Toc425776595"/>
      <w:bookmarkStart w:id="3" w:name="_Toc427314948"/>
      <w:bookmarkStart w:id="4" w:name="_Toc428006309"/>
      <w:r>
        <w:rPr>
          <w:noProof/>
          <w:lang w:eastAsia="de-DE"/>
        </w:rPr>
        <mc:AlternateContent>
          <mc:Choice Requires="wps">
            <w:drawing>
              <wp:anchor distT="0" distB="0" distL="114300" distR="114300" simplePos="0" relativeHeight="251659264" behindDoc="0" locked="0" layoutInCell="1" allowOverlap="1" wp14:anchorId="17881F58" wp14:editId="5C27380D">
                <wp:simplePos x="0" y="0"/>
                <wp:positionH relativeFrom="column">
                  <wp:posOffset>-635</wp:posOffset>
                </wp:positionH>
                <wp:positionV relativeFrom="paragraph">
                  <wp:posOffset>26670</wp:posOffset>
                </wp:positionV>
                <wp:extent cx="5873115" cy="796925"/>
                <wp:effectExtent l="0" t="0" r="13335" b="22225"/>
                <wp:wrapSquare wrapText="bothSides"/>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62B" w:rsidRPr="00F31EBF" w:rsidRDefault="008B662B" w:rsidP="008B662B">
                            <w:pPr>
                              <w:rPr>
                                <w:color w:val="auto"/>
                              </w:rPr>
                            </w:pPr>
                            <w:r>
                              <w:rPr>
                                <w:color w:val="auto"/>
                              </w:rPr>
                              <w:t>Dieser Versuch verdeutlicht den SuS, wie im 19. Jahrhundert unbekannte Substanzen analysiert wurden. Die SuS benötigen hierbei das Wissen, dass Kohlenwasserstoffe wenn sie oxidiert werden zu Kohlenstoffdioxid und Wasser reagieren.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81F58" id="_x0000_t202" coordsize="21600,21600" o:spt="202" path="m,l,21600r21600,l21600,xe">
                <v:stroke joinstyle="miter"/>
                <v:path gradientshapeok="t" o:connecttype="rect"/>
              </v:shapetype>
              <v:shape id="Text Box 60" o:spid="_x0000_s1026"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1D7gIAACo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" fillcolor="white [3201]" strokecolor="#4472c4 [3208]" strokeweight="1pt">
                <v:stroke dashstyle="dash"/>
                <v:shadow color="#868686"/>
                <v:textbox>
                  <w:txbxContent>
                    <w:p w:rsidR="008B662B" w:rsidRPr="00F31EBF" w:rsidRDefault="008B662B" w:rsidP="008B662B">
                      <w:pPr>
                        <w:rPr>
                          <w:color w:val="auto"/>
                        </w:rPr>
                      </w:pPr>
                      <w:r>
                        <w:rPr>
                          <w:color w:val="auto"/>
                        </w:rPr>
                        <w:t>Dieser Versuch verdeutlicht den SuS, wie im 19. Jahrhundert unbekannte Substanzen analysiert wurden. Die SuS benötigen hierbei das Wissen, dass Kohlenwasserstoffe wenn sie oxidiert werden zu Kohlenstoffdioxid und Wasser reagieren.</w:t>
                      </w:r>
                    </w:p>
                  </w:txbxContent>
                </v:textbox>
                <w10:wrap type="square"/>
              </v:shape>
            </w:pict>
          </mc:Fallback>
        </mc:AlternateContent>
      </w:r>
      <w:bookmarkEnd w:id="2"/>
      <w:bookmarkEnd w:id="3"/>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B662B" w:rsidRPr="009C5E28" w:rsidTr="005D4236">
        <w:tc>
          <w:tcPr>
            <w:tcW w:w="9322" w:type="dxa"/>
            <w:gridSpan w:val="9"/>
            <w:tcBorders>
              <w:bottom w:val="single" w:sz="8" w:space="0" w:color="4F81BD"/>
            </w:tcBorders>
            <w:shd w:val="clear" w:color="auto" w:fill="4F81BD"/>
            <w:vAlign w:val="center"/>
          </w:tcPr>
          <w:p w:rsidR="008B662B" w:rsidRPr="00F31EBF" w:rsidRDefault="008B662B" w:rsidP="005D4236">
            <w:pPr>
              <w:spacing w:after="0"/>
              <w:jc w:val="center"/>
              <w:rPr>
                <w:b/>
                <w:bCs/>
                <w:color w:val="FFFFFF" w:themeColor="background1"/>
              </w:rPr>
            </w:pPr>
            <w:r w:rsidRPr="00F31EBF">
              <w:rPr>
                <w:b/>
                <w:bCs/>
                <w:color w:val="FFFFFF" w:themeColor="background1"/>
              </w:rPr>
              <w:t>Gefahrenstoffe</w:t>
            </w:r>
          </w:p>
        </w:tc>
      </w:tr>
      <w:tr w:rsidR="008B662B" w:rsidRPr="009C5E28" w:rsidTr="005D4236">
        <w:trPr>
          <w:trHeight w:val="437"/>
        </w:trPr>
        <w:tc>
          <w:tcPr>
            <w:tcW w:w="3027" w:type="dxa"/>
            <w:gridSpan w:val="3"/>
            <w:tcBorders>
              <w:top w:val="single" w:sz="8" w:space="0" w:color="4F81BD"/>
              <w:left w:val="single" w:sz="8" w:space="0" w:color="4F81BD"/>
              <w:bottom w:val="single" w:sz="4" w:space="0" w:color="5B9BD5" w:themeColor="accent1"/>
            </w:tcBorders>
            <w:shd w:val="clear" w:color="auto" w:fill="auto"/>
            <w:vAlign w:val="center"/>
          </w:tcPr>
          <w:p w:rsidR="008B662B" w:rsidRPr="00B70F3B" w:rsidRDefault="008B662B" w:rsidP="005D4236">
            <w:pPr>
              <w:spacing w:after="0" w:line="276" w:lineRule="auto"/>
              <w:jc w:val="center"/>
              <w:rPr>
                <w:rFonts w:asciiTheme="majorHAnsi" w:hAnsiTheme="majorHAnsi"/>
                <w:b/>
                <w:bCs/>
                <w:sz w:val="20"/>
                <w:szCs w:val="20"/>
              </w:rPr>
            </w:pPr>
            <w:r w:rsidRPr="00B70F3B">
              <w:rPr>
                <w:rFonts w:asciiTheme="majorHAnsi" w:hAnsiTheme="majorHAnsi"/>
                <w:sz w:val="20"/>
                <w:szCs w:val="20"/>
              </w:rPr>
              <w:t>Butan</w:t>
            </w:r>
          </w:p>
        </w:tc>
        <w:tc>
          <w:tcPr>
            <w:tcW w:w="3177" w:type="dxa"/>
            <w:gridSpan w:val="3"/>
            <w:tcBorders>
              <w:top w:val="single" w:sz="8" w:space="0" w:color="4F81BD"/>
              <w:bottom w:val="single" w:sz="4" w:space="0" w:color="5B9BD5" w:themeColor="accent1"/>
            </w:tcBorders>
            <w:shd w:val="clear" w:color="auto" w:fill="auto"/>
            <w:vAlign w:val="center"/>
          </w:tcPr>
          <w:p w:rsidR="008B662B" w:rsidRPr="00B70F3B" w:rsidRDefault="008B662B" w:rsidP="005D4236">
            <w:pPr>
              <w:spacing w:after="0"/>
              <w:jc w:val="center"/>
              <w:rPr>
                <w:rFonts w:asciiTheme="majorHAnsi" w:hAnsiTheme="majorHAnsi"/>
                <w:sz w:val="20"/>
                <w:szCs w:val="20"/>
              </w:rPr>
            </w:pPr>
            <w:r w:rsidRPr="00B70F3B">
              <w:rPr>
                <w:rFonts w:asciiTheme="majorHAnsi" w:hAnsiTheme="majorHAnsi"/>
                <w:sz w:val="20"/>
                <w:szCs w:val="20"/>
              </w:rPr>
              <w:t>H: 220, 280</w:t>
            </w:r>
          </w:p>
        </w:tc>
        <w:tc>
          <w:tcPr>
            <w:tcW w:w="3118" w:type="dxa"/>
            <w:gridSpan w:val="3"/>
            <w:tcBorders>
              <w:top w:val="single" w:sz="8" w:space="0" w:color="4F81BD"/>
              <w:bottom w:val="single" w:sz="4" w:space="0" w:color="5B9BD5" w:themeColor="accent1"/>
              <w:right w:val="single" w:sz="8" w:space="0" w:color="4F81BD"/>
            </w:tcBorders>
            <w:shd w:val="clear" w:color="auto" w:fill="auto"/>
            <w:vAlign w:val="center"/>
          </w:tcPr>
          <w:p w:rsidR="008B662B" w:rsidRPr="00B70F3B" w:rsidRDefault="008B662B" w:rsidP="005D4236">
            <w:pPr>
              <w:spacing w:after="0"/>
              <w:jc w:val="center"/>
              <w:rPr>
                <w:rFonts w:asciiTheme="majorHAnsi" w:hAnsiTheme="majorHAnsi"/>
                <w:sz w:val="20"/>
                <w:szCs w:val="20"/>
              </w:rPr>
            </w:pPr>
            <w:r w:rsidRPr="00B70F3B">
              <w:rPr>
                <w:rFonts w:asciiTheme="majorHAnsi" w:hAnsiTheme="majorHAnsi"/>
                <w:sz w:val="20"/>
                <w:szCs w:val="20"/>
              </w:rPr>
              <w:t xml:space="preserve">P: </w:t>
            </w:r>
            <w:r>
              <w:rPr>
                <w:rFonts w:asciiTheme="majorHAnsi" w:hAnsiTheme="majorHAnsi"/>
                <w:sz w:val="20"/>
                <w:szCs w:val="20"/>
              </w:rPr>
              <w:t>210, 403, 337, 381</w:t>
            </w:r>
          </w:p>
        </w:tc>
      </w:tr>
      <w:tr w:rsidR="008B662B" w:rsidRPr="009C5E28" w:rsidTr="005D4236">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8B662B" w:rsidRDefault="008B662B" w:rsidP="005D4236">
            <w:pPr>
              <w:spacing w:after="0" w:line="276" w:lineRule="auto"/>
              <w:jc w:val="center"/>
              <w:rPr>
                <w:color w:val="auto"/>
                <w:sz w:val="20"/>
                <w:szCs w:val="20"/>
              </w:rPr>
            </w:pPr>
            <w:r>
              <w:rPr>
                <w:color w:val="auto"/>
                <w:sz w:val="20"/>
                <w:szCs w:val="20"/>
              </w:rPr>
              <w:t>Calciumchlorid</w:t>
            </w:r>
          </w:p>
        </w:tc>
        <w:tc>
          <w:tcPr>
            <w:tcW w:w="3177" w:type="dxa"/>
            <w:gridSpan w:val="3"/>
            <w:tcBorders>
              <w:top w:val="single" w:sz="4" w:space="0" w:color="5B9BD5" w:themeColor="accent1"/>
            </w:tcBorders>
            <w:shd w:val="clear" w:color="auto" w:fill="auto"/>
            <w:vAlign w:val="center"/>
          </w:tcPr>
          <w:p w:rsidR="008B662B" w:rsidRDefault="008B662B" w:rsidP="005D4236">
            <w:pPr>
              <w:pStyle w:val="Beschriftung"/>
              <w:spacing w:after="0"/>
              <w:jc w:val="center"/>
              <w:rPr>
                <w:sz w:val="20"/>
              </w:rPr>
            </w:pPr>
            <w:r>
              <w:rPr>
                <w:sz w:val="20"/>
              </w:rPr>
              <w:t>H: 319</w:t>
            </w:r>
          </w:p>
        </w:tc>
        <w:tc>
          <w:tcPr>
            <w:tcW w:w="3118" w:type="dxa"/>
            <w:gridSpan w:val="3"/>
            <w:tcBorders>
              <w:top w:val="single" w:sz="4" w:space="0" w:color="5B9BD5" w:themeColor="accent1"/>
            </w:tcBorders>
            <w:shd w:val="clear" w:color="auto" w:fill="auto"/>
            <w:vAlign w:val="center"/>
          </w:tcPr>
          <w:p w:rsidR="008B662B" w:rsidRDefault="008B662B" w:rsidP="005D4236">
            <w:pPr>
              <w:pStyle w:val="Beschriftung"/>
              <w:spacing w:after="0"/>
              <w:jc w:val="center"/>
              <w:rPr>
                <w:sz w:val="20"/>
              </w:rPr>
            </w:pPr>
            <w:r>
              <w:rPr>
                <w:sz w:val="20"/>
              </w:rPr>
              <w:t>P: 305+351+338</w:t>
            </w:r>
          </w:p>
        </w:tc>
      </w:tr>
      <w:tr w:rsidR="008B662B" w:rsidRPr="009C5E28" w:rsidTr="005D4236">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8B662B" w:rsidRDefault="008B662B" w:rsidP="005D4236">
            <w:pPr>
              <w:spacing w:after="0" w:line="276" w:lineRule="auto"/>
              <w:jc w:val="center"/>
              <w:rPr>
                <w:color w:val="auto"/>
                <w:sz w:val="20"/>
                <w:szCs w:val="20"/>
              </w:rPr>
            </w:pPr>
            <w:r>
              <w:rPr>
                <w:color w:val="auto"/>
                <w:sz w:val="20"/>
                <w:szCs w:val="20"/>
              </w:rPr>
              <w:t>Natriumhydroxid</w:t>
            </w:r>
          </w:p>
        </w:tc>
        <w:tc>
          <w:tcPr>
            <w:tcW w:w="3177" w:type="dxa"/>
            <w:gridSpan w:val="3"/>
            <w:tcBorders>
              <w:top w:val="single" w:sz="4" w:space="0" w:color="5B9BD5" w:themeColor="accent1"/>
            </w:tcBorders>
            <w:shd w:val="clear" w:color="auto" w:fill="auto"/>
            <w:vAlign w:val="center"/>
          </w:tcPr>
          <w:p w:rsidR="008B662B" w:rsidRDefault="008B662B" w:rsidP="005D4236">
            <w:pPr>
              <w:pStyle w:val="Beschriftung"/>
              <w:spacing w:after="0"/>
              <w:jc w:val="center"/>
              <w:rPr>
                <w:sz w:val="20"/>
              </w:rPr>
            </w:pPr>
            <w:r>
              <w:rPr>
                <w:sz w:val="20"/>
              </w:rPr>
              <w:t>H: 314, 219</w:t>
            </w:r>
          </w:p>
        </w:tc>
        <w:tc>
          <w:tcPr>
            <w:tcW w:w="3118" w:type="dxa"/>
            <w:gridSpan w:val="3"/>
            <w:tcBorders>
              <w:top w:val="single" w:sz="4" w:space="0" w:color="5B9BD5" w:themeColor="accent1"/>
            </w:tcBorders>
            <w:shd w:val="clear" w:color="auto" w:fill="auto"/>
            <w:vAlign w:val="center"/>
          </w:tcPr>
          <w:p w:rsidR="008B662B" w:rsidRDefault="008B662B" w:rsidP="005D4236">
            <w:pPr>
              <w:pStyle w:val="Beschriftung"/>
              <w:spacing w:after="0"/>
              <w:jc w:val="center"/>
              <w:rPr>
                <w:sz w:val="20"/>
              </w:rPr>
            </w:pPr>
            <w:r>
              <w:rPr>
                <w:sz w:val="20"/>
              </w:rPr>
              <w:t>P: 280, 301+310+331, 305+351+338, 308+310</w:t>
            </w:r>
          </w:p>
        </w:tc>
      </w:tr>
      <w:tr w:rsidR="008B662B" w:rsidRPr="009C5E28" w:rsidTr="005D4236">
        <w:tc>
          <w:tcPr>
            <w:tcW w:w="1009" w:type="dxa"/>
            <w:tcBorders>
              <w:top w:val="single" w:sz="4" w:space="0" w:color="5B9BD5" w:themeColor="accent1"/>
              <w:left w:val="single" w:sz="8" w:space="0" w:color="4F81BD"/>
              <w:bottom w:val="single" w:sz="8" w:space="0" w:color="4F81BD"/>
            </w:tcBorders>
            <w:shd w:val="clear" w:color="auto" w:fill="auto"/>
            <w:vAlign w:val="center"/>
          </w:tcPr>
          <w:p w:rsidR="008B662B" w:rsidRPr="009C5E28" w:rsidRDefault="008B662B" w:rsidP="005D4236">
            <w:pPr>
              <w:spacing w:after="0"/>
              <w:jc w:val="center"/>
              <w:rPr>
                <w:b/>
                <w:bCs/>
              </w:rPr>
            </w:pPr>
            <w:r>
              <w:rPr>
                <w:b/>
                <w:noProof/>
                <w:lang w:eastAsia="de-DE"/>
              </w:rPr>
              <w:drawing>
                <wp:inline distT="0" distB="0" distL="0" distR="0" wp14:anchorId="564D76B4" wp14:editId="74CFBF9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5B9BD5" w:themeColor="accent1"/>
              <w:bottom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60F6DD46" wp14:editId="7993AE5A">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5B9BD5" w:themeColor="accent1"/>
              <w:bottom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3194B06D" wp14:editId="304117A5">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4C34EACF" wp14:editId="2520E72F">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7A51C3B2" wp14:editId="2DCD8AC3">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4151217F" wp14:editId="607EE9FD">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7FE37B7A" wp14:editId="5504FF17">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3BBAF44A" wp14:editId="0E3A9A0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B662B" w:rsidRPr="009C5E28" w:rsidRDefault="008B662B" w:rsidP="005D4236">
            <w:pPr>
              <w:spacing w:after="0"/>
              <w:jc w:val="center"/>
            </w:pPr>
            <w:r>
              <w:rPr>
                <w:noProof/>
                <w:lang w:eastAsia="de-DE"/>
              </w:rPr>
              <w:drawing>
                <wp:inline distT="0" distB="0" distL="0" distR="0" wp14:anchorId="793465B2" wp14:editId="6A2E455D">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8B662B" w:rsidRDefault="008B662B" w:rsidP="008B662B">
      <w:pPr>
        <w:tabs>
          <w:tab w:val="left" w:pos="1701"/>
          <w:tab w:val="left" w:pos="1985"/>
        </w:tabs>
        <w:ind w:left="1980" w:hanging="1980"/>
      </w:pPr>
    </w:p>
    <w:p w:rsidR="008B662B" w:rsidRDefault="008B662B" w:rsidP="008B662B">
      <w:pPr>
        <w:tabs>
          <w:tab w:val="left" w:pos="1701"/>
          <w:tab w:val="left" w:pos="1985"/>
        </w:tabs>
        <w:ind w:left="1980" w:hanging="1980"/>
      </w:pPr>
      <w:r>
        <w:t xml:space="preserve">Materialien: </w:t>
      </w:r>
      <w:r>
        <w:tab/>
      </w:r>
      <w:r>
        <w:tab/>
        <w:t>2 Kolbenprober,</w:t>
      </w:r>
      <w:r w:rsidRPr="00B70F3B">
        <w:t xml:space="preserve"> </w:t>
      </w:r>
      <w:r>
        <w:t>Verbrennungsrohr, 2 U-Rohre, Glaswolle, Bunsenbrenner, Schlauchstücke, Porzellanschiffchen</w:t>
      </w:r>
    </w:p>
    <w:p w:rsidR="008B662B" w:rsidRPr="00ED07C2" w:rsidRDefault="008B662B" w:rsidP="008B662B">
      <w:pPr>
        <w:tabs>
          <w:tab w:val="left" w:pos="1701"/>
          <w:tab w:val="left" w:pos="1985"/>
        </w:tabs>
        <w:ind w:left="1980" w:hanging="1980"/>
      </w:pPr>
      <w:r>
        <w:t>Chemikalien:</w:t>
      </w:r>
      <w:r>
        <w:tab/>
      </w:r>
      <w:r>
        <w:tab/>
        <w:t>Butan, Kupfer(II)-oxid, Calciumchlorid, Natriumhydroxid</w:t>
      </w:r>
    </w:p>
    <w:p w:rsidR="008B662B" w:rsidRDefault="008B662B" w:rsidP="008B662B">
      <w:pPr>
        <w:tabs>
          <w:tab w:val="left" w:pos="1701"/>
          <w:tab w:val="left" w:pos="1985"/>
        </w:tabs>
        <w:ind w:left="1980" w:hanging="1980"/>
      </w:pPr>
      <w:r>
        <w:t xml:space="preserve">Durchführung: </w:t>
      </w:r>
      <w:r>
        <w:tab/>
      </w:r>
      <w:r>
        <w:tab/>
      </w:r>
      <w:r>
        <w:tab/>
        <w:t xml:space="preserve">Zu Beginn werden jeweils die U-Rohre und die zugegebene Menge an Calciumchlorid bzw. Natriumhydroxid abgewogen und die Werte notiert. Dann wird in das Glasrohr zwischen zwei </w:t>
      </w:r>
      <w:proofErr w:type="spellStart"/>
      <w:r>
        <w:t>Glaswollestücken</w:t>
      </w:r>
      <w:proofErr w:type="spellEnd"/>
      <w:r>
        <w:t xml:space="preserve"> Kupfer(II)-Oxid gegeben. Der Kolbenprober wird mit dem Verbrennungsrohr verbunden. Die andere Seite des Verbrennungsrohres wird mit zwei U-Rohren verbunden. In dem ersten U-Rohr befindet sich Calciumchlorid, in dem zweiten </w:t>
      </w:r>
      <w:proofErr w:type="gramStart"/>
      <w:r>
        <w:t>feines</w:t>
      </w:r>
      <w:proofErr w:type="gramEnd"/>
      <w:r>
        <w:t xml:space="preserve"> Natriumhydroxid, welches durch Mörsern von </w:t>
      </w:r>
      <w:proofErr w:type="spellStart"/>
      <w:r>
        <w:t>Natriumhydroxidplätzchen</w:t>
      </w:r>
      <w:proofErr w:type="spellEnd"/>
      <w:r>
        <w:t xml:space="preserve"> hergestellt wurde. Das zweite U-Rohr wird zusätzlich an einen weiteren Kolbenprober geschlossen. Nun wird einer der Kolbenprober mit 20 ml Butangas befüllt, wieder verschlossen und wieder an das Verbrennungsrohr geschlossen. Das Kupferoxid wird zum Glühen gebracht und anschließend wird das Butangas über das erhitzte Kupferoxid geleitet. Nach Abkühlen wird die Apparatur abgebaut und die U-Rohre erneut gewogen.</w:t>
      </w:r>
    </w:p>
    <w:p w:rsidR="008B662B" w:rsidRDefault="008B662B" w:rsidP="008B662B">
      <w:pPr>
        <w:tabs>
          <w:tab w:val="left" w:pos="1701"/>
          <w:tab w:val="left" w:pos="1985"/>
        </w:tabs>
        <w:ind w:left="1980" w:hanging="1980"/>
      </w:pPr>
      <w:r>
        <w:rPr>
          <w:noProof/>
          <w:lang w:eastAsia="de-DE"/>
        </w:rPr>
        <w:lastRenderedPageBreak/>
        <w:drawing>
          <wp:inline distT="0" distB="0" distL="0" distR="0" wp14:anchorId="0C27E99D" wp14:editId="7239E3EE">
            <wp:extent cx="5760720" cy="13563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ßer Versuch.png"/>
                    <pic:cNvPicPr/>
                  </pic:nvPicPr>
                  <pic:blipFill>
                    <a:blip r:embed="rId14" cstate="print">
                      <a:extLst>
                        <a:ext uri="{28A0092B-C50C-407E-A947-70E740481C1C}">
                          <a14:useLocalDpi xmlns:a14="http://schemas.microsoft.com/office/drawing/2010/main"/>
                        </a:ext>
                      </a:extLst>
                    </a:blip>
                    <a:stretch>
                      <a:fillRect/>
                    </a:stretch>
                  </pic:blipFill>
                  <pic:spPr>
                    <a:xfrm>
                      <a:off x="0" y="0"/>
                      <a:ext cx="5760720" cy="1356360"/>
                    </a:xfrm>
                    <a:prstGeom prst="rect">
                      <a:avLst/>
                    </a:prstGeom>
                  </pic:spPr>
                </pic:pic>
              </a:graphicData>
            </a:graphic>
          </wp:inline>
        </w:drawing>
      </w:r>
    </w:p>
    <w:p w:rsidR="008B662B" w:rsidRPr="001668D7" w:rsidRDefault="008B662B" w:rsidP="008B662B">
      <w:pPr>
        <w:tabs>
          <w:tab w:val="left" w:pos="1701"/>
          <w:tab w:val="left" w:pos="1985"/>
        </w:tabs>
        <w:ind w:left="1980" w:hanging="1980"/>
        <w:rPr>
          <w:sz w:val="18"/>
          <w:szCs w:val="18"/>
        </w:rPr>
      </w:pPr>
      <w:r w:rsidRPr="001668D7">
        <w:rPr>
          <w:sz w:val="18"/>
          <w:szCs w:val="18"/>
        </w:rPr>
        <w:t>Abb. 1: Skizze des Versuchsaufbaus zu V1</w:t>
      </w:r>
    </w:p>
    <w:p w:rsidR="008B662B" w:rsidRDefault="008B662B" w:rsidP="008B662B">
      <w:pPr>
        <w:tabs>
          <w:tab w:val="left" w:pos="1701"/>
          <w:tab w:val="left" w:pos="1985"/>
        </w:tabs>
        <w:ind w:left="1980" w:hanging="1980"/>
      </w:pPr>
      <w:r>
        <w:t>Beobachtung:</w:t>
      </w:r>
      <w:r>
        <w:tab/>
      </w:r>
      <w:r>
        <w:tab/>
        <w:t>Leider hat der Versuch nicht gut funktioniert, weshalb im Weiteren theoretisch erörtert wird, was hätte passieren müssen.</w:t>
      </w:r>
    </w:p>
    <w:p w:rsidR="008B662B" w:rsidRDefault="008B662B" w:rsidP="008B662B">
      <w:pPr>
        <w:tabs>
          <w:tab w:val="left" w:pos="1701"/>
          <w:tab w:val="left" w:pos="1985"/>
        </w:tabs>
        <w:ind w:left="1980" w:hanging="1980"/>
      </w:pPr>
      <w:r>
        <w:tab/>
      </w:r>
      <w:r>
        <w:tab/>
        <w:t>Bei beiden U-Rohren ist eine Massenzunahme erkennbar. Das U-Rohr mit dem Calciumchlorid wiegt nun 0,05 g mehr, wobei eine Gewichtzunahme um 0,077 g zu erwarten war. Das U-Rohr mit dem Natriumchlorid wiegt 0,04 g mehr, wobei  eine Gewichtszunahme um 0,15 g zu erwarten war. Im Folgenden wird mit den zu erwarteten Werten weiter gerechnet.</w:t>
      </w:r>
    </w:p>
    <w:p w:rsidR="008B662B" w:rsidRDefault="008B662B" w:rsidP="008B662B">
      <w:pPr>
        <w:tabs>
          <w:tab w:val="left" w:pos="1701"/>
          <w:tab w:val="left" w:pos="1843"/>
          <w:tab w:val="left" w:pos="1985"/>
        </w:tabs>
        <w:ind w:left="1985" w:hanging="2124"/>
      </w:pPr>
      <w:r>
        <w:t>Deutung:</w:t>
      </w:r>
      <w:r>
        <w:tab/>
      </w:r>
      <w:r>
        <w:tab/>
      </w:r>
      <w:r>
        <w:tab/>
        <w:t xml:space="preserve">Das Kupferoxid oxidiert das Butangas und es entstehen Kohlenstoffdioxid, Wasser und elementares Kuper. </w:t>
      </w:r>
    </w:p>
    <w:p w:rsidR="008B662B" w:rsidRDefault="008B662B" w:rsidP="008B662B">
      <w:pPr>
        <w:tabs>
          <w:tab w:val="left" w:pos="1701"/>
          <w:tab w:val="left" w:pos="1985"/>
        </w:tabs>
        <w:ind w:left="2124" w:hanging="2124"/>
      </w:pPr>
      <w:r>
        <w:tab/>
      </w:r>
      <w:r>
        <w:tab/>
        <w:t xml:space="preserve">Reaktionsgleichung: </w:t>
      </w:r>
      <w:r w:rsidRPr="00FC2D57">
        <w:t xml:space="preserve">: </w:t>
      </w:r>
      <w:proofErr w:type="spellStart"/>
      <w:r w:rsidRPr="00FC2D57">
        <w:t>C</w:t>
      </w:r>
      <w:r w:rsidRPr="00FC2D57">
        <w:rPr>
          <w:vertAlign w:val="subscript"/>
        </w:rPr>
        <w:t>x</w:t>
      </w:r>
      <w:r w:rsidRPr="00FC2D57">
        <w:t>H</w:t>
      </w:r>
      <w:r w:rsidRPr="00FC2D57">
        <w:rPr>
          <w:vertAlign w:val="subscript"/>
        </w:rPr>
        <w:t>y</w:t>
      </w:r>
      <w:proofErr w:type="spellEnd"/>
      <w:r w:rsidRPr="00FC2D57">
        <w:t xml:space="preserve"> + z </w:t>
      </w:r>
      <w:proofErr w:type="spellStart"/>
      <w:r w:rsidRPr="00FC2D57">
        <w:t>CuO</w:t>
      </w:r>
      <w:proofErr w:type="spellEnd"/>
      <w:r w:rsidRPr="00FC2D57">
        <w:t xml:space="preserve"> </w:t>
      </w:r>
      <w:r w:rsidRPr="00FC2D57">
        <w:sym w:font="Wingdings" w:char="F0E0"/>
      </w:r>
      <w:r w:rsidRPr="00FC2D57">
        <w:t xml:space="preserve"> x CO</w:t>
      </w:r>
      <w:r w:rsidRPr="00FC2D57">
        <w:rPr>
          <w:vertAlign w:val="subscript"/>
        </w:rPr>
        <w:t>2</w:t>
      </w:r>
      <w:r w:rsidRPr="00FC2D57">
        <w:t xml:space="preserve"> + ½ y H</w:t>
      </w:r>
      <w:r w:rsidRPr="00FC2D57">
        <w:rPr>
          <w:vertAlign w:val="subscript"/>
        </w:rPr>
        <w:t>2</w:t>
      </w:r>
      <w:r w:rsidRPr="00FC2D57">
        <w:t xml:space="preserve">O + z </w:t>
      </w:r>
      <w:proofErr w:type="spellStart"/>
      <w:r w:rsidRPr="00FC2D57">
        <w:t>Cu</w:t>
      </w:r>
      <w:proofErr w:type="spellEnd"/>
    </w:p>
    <w:p w:rsidR="008B662B" w:rsidRDefault="008B662B" w:rsidP="008B662B">
      <w:pPr>
        <w:tabs>
          <w:tab w:val="left" w:pos="1701"/>
          <w:tab w:val="left" w:pos="1985"/>
        </w:tabs>
        <w:ind w:left="2124" w:hanging="2124"/>
      </w:pPr>
      <w:r>
        <w:tab/>
      </w:r>
      <w:r>
        <w:tab/>
        <w:t>Aus der Beziehung für die molare Masse n= m/M ergibt sich folgendes:</w:t>
      </w:r>
    </w:p>
    <w:p w:rsidR="008B662B" w:rsidRDefault="008B662B" w:rsidP="008B662B">
      <w:pPr>
        <w:tabs>
          <w:tab w:val="left" w:pos="1701"/>
          <w:tab w:val="left" w:pos="1985"/>
        </w:tabs>
        <w:ind w:left="2124" w:hanging="2124"/>
        <w:rPr>
          <w:rFonts w:eastAsiaTheme="minorEastAsia"/>
        </w:rPr>
      </w:pPr>
      <w:r>
        <w:tab/>
      </w:r>
      <w:r>
        <w:tab/>
      </w:r>
      <m:oMath>
        <m:f>
          <m:fPr>
            <m:ctrlPr>
              <w:rPr>
                <w:rFonts w:ascii="Cambria Math" w:hAnsi="Cambria Math"/>
                <w:i/>
              </w:rPr>
            </m:ctrlPr>
          </m:fPr>
          <m:num>
            <m:r>
              <w:rPr>
                <w:rFonts w:ascii="Cambria Math" w:hAnsi="Cambria Math"/>
              </w:rPr>
              <m:t>m(C)</m:t>
            </m:r>
          </m:num>
          <m:den>
            <m:r>
              <w:rPr>
                <w:rFonts w:ascii="Cambria Math" w:hAnsi="Cambria Math"/>
              </w:rPr>
              <m:t>M(C)</m:t>
            </m:r>
          </m:den>
        </m:f>
        <m:r>
          <w:rPr>
            <w:rFonts w:ascii="Cambria Math" w:hAnsi="Cambria Math"/>
          </w:rPr>
          <m:t xml:space="preserve">= </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num>
          <m:den>
            <m:r>
              <w:rPr>
                <w:rFonts w:ascii="Cambria Math" w:hAnsi="Cambria Math"/>
              </w:rPr>
              <m:t>M(</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den>
        </m:f>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m</m:t>
        </m:r>
        <m:d>
          <m:dPr>
            <m:ctrlPr>
              <w:rPr>
                <w:rFonts w:ascii="Cambria Math" w:hAnsi="Cambria Math"/>
                <w:i/>
              </w:rPr>
            </m:ctrlPr>
          </m:dPr>
          <m:e>
            <m:r>
              <w:rPr>
                <w:rFonts w:ascii="Cambria Math" w:hAnsi="Cambria Math"/>
              </w:rPr>
              <m:t>C</m:t>
            </m:r>
          </m:e>
        </m:d>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 xml:space="preserve">∙ </m:t>
        </m:r>
        <m:f>
          <m:fPr>
            <m:ctrlPr>
              <w:rPr>
                <w:rFonts w:ascii="Cambria Math" w:hAnsi="Cambria Math"/>
                <w:i/>
              </w:rPr>
            </m:ctrlPr>
          </m:fPr>
          <m:num>
            <m:r>
              <w:rPr>
                <w:rFonts w:ascii="Cambria Math" w:hAnsi="Cambria Math"/>
              </w:rPr>
              <m:t>M(C)</m:t>
            </m:r>
          </m:num>
          <m:den>
            <m:r>
              <w:rPr>
                <w:rFonts w:ascii="Cambria Math" w:hAnsi="Cambria Math"/>
              </w:rPr>
              <m:t>M(</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den>
        </m:f>
      </m:oMath>
    </w:p>
    <w:p w:rsidR="008B662B" w:rsidRDefault="008B662B" w:rsidP="008B662B">
      <w:pPr>
        <w:tabs>
          <w:tab w:val="left" w:pos="1701"/>
          <w:tab w:val="left" w:pos="1985"/>
        </w:tabs>
        <w:ind w:left="2124" w:hanging="2124"/>
      </w:pPr>
      <w:r>
        <w:tab/>
      </w:r>
      <w:r>
        <w:tab/>
        <w:t>Nach dem Erhitzen ist das U-Rohr mit dem Natriumhydroxid um 0,09 g schwerer, somit folgt:</w:t>
      </w:r>
    </w:p>
    <w:p w:rsidR="008B662B" w:rsidRDefault="008B662B" w:rsidP="008B662B">
      <w:pPr>
        <w:tabs>
          <w:tab w:val="left" w:pos="1701"/>
          <w:tab w:val="left" w:pos="1985"/>
        </w:tabs>
        <w:ind w:left="2124" w:hanging="2124"/>
        <w:rPr>
          <w:rFonts w:eastAsiaTheme="minorEastAsia"/>
        </w:rPr>
      </w:pPr>
      <w:r>
        <w:tab/>
      </w:r>
      <w:r>
        <w:tab/>
      </w:r>
      <m:oMath>
        <m:r>
          <w:rPr>
            <w:rFonts w:ascii="Cambria Math" w:hAnsi="Cambria Math"/>
          </w:rPr>
          <m:t>m</m:t>
        </m:r>
        <m:d>
          <m:dPr>
            <m:ctrlPr>
              <w:rPr>
                <w:rFonts w:ascii="Cambria Math" w:hAnsi="Cambria Math"/>
                <w:i/>
              </w:rPr>
            </m:ctrlPr>
          </m:dPr>
          <m:e>
            <m:r>
              <w:rPr>
                <w:rFonts w:ascii="Cambria Math" w:hAnsi="Cambria Math"/>
              </w:rPr>
              <m:t>C</m:t>
            </m:r>
          </m:e>
        </m:d>
        <m:r>
          <w:rPr>
            <w:rFonts w:ascii="Cambria Math" w:hAnsi="Cambria Math"/>
          </w:rPr>
          <m:t xml:space="preserve">=0,15g ∙ </m:t>
        </m:r>
        <m:f>
          <m:fPr>
            <m:ctrlPr>
              <w:rPr>
                <w:rFonts w:ascii="Cambria Math" w:hAnsi="Cambria Math"/>
                <w:i/>
              </w:rPr>
            </m:ctrlPr>
          </m:fPr>
          <m:num>
            <m:r>
              <w:rPr>
                <w:rFonts w:ascii="Cambria Math" w:hAnsi="Cambria Math"/>
              </w:rPr>
              <m:t>12</m:t>
            </m:r>
            <m:f>
              <m:fPr>
                <m:ctrlPr>
                  <w:rPr>
                    <w:rFonts w:ascii="Cambria Math" w:hAnsi="Cambria Math"/>
                    <w:i/>
                  </w:rPr>
                </m:ctrlPr>
              </m:fPr>
              <m:num>
                <m:r>
                  <w:rPr>
                    <w:rFonts w:ascii="Cambria Math" w:hAnsi="Cambria Math"/>
                  </w:rPr>
                  <m:t>g</m:t>
                </m:r>
              </m:num>
              <m:den>
                <m:r>
                  <w:rPr>
                    <w:rFonts w:ascii="Cambria Math" w:hAnsi="Cambria Math"/>
                  </w:rPr>
                  <m:t>mol</m:t>
                </m:r>
              </m:den>
            </m:f>
          </m:num>
          <m:den>
            <m:r>
              <w:rPr>
                <w:rFonts w:ascii="Cambria Math" w:hAnsi="Cambria Math"/>
              </w:rPr>
              <m:t>44</m:t>
            </m:r>
            <m:f>
              <m:fPr>
                <m:ctrlPr>
                  <w:rPr>
                    <w:rFonts w:ascii="Cambria Math" w:hAnsi="Cambria Math"/>
                    <w:i/>
                  </w:rPr>
                </m:ctrlPr>
              </m:fPr>
              <m:num>
                <m:r>
                  <w:rPr>
                    <w:rFonts w:ascii="Cambria Math" w:hAnsi="Cambria Math"/>
                  </w:rPr>
                  <m:t>g</m:t>
                </m:r>
              </m:num>
              <m:den>
                <m:r>
                  <w:rPr>
                    <w:rFonts w:ascii="Cambria Math" w:hAnsi="Cambria Math"/>
                  </w:rPr>
                  <m:t>mol</m:t>
                </m:r>
              </m:den>
            </m:f>
          </m:den>
        </m:f>
        <m:r>
          <w:rPr>
            <w:rFonts w:ascii="Cambria Math" w:hAnsi="Cambria Math"/>
          </w:rPr>
          <m:t>=0,041 g</m:t>
        </m:r>
      </m:oMath>
      <w:r>
        <w:rPr>
          <w:rFonts w:eastAsiaTheme="minorEastAsia"/>
        </w:rPr>
        <w:t xml:space="preserve"> </w:t>
      </w:r>
    </w:p>
    <w:p w:rsidR="008B662B" w:rsidRDefault="008B662B" w:rsidP="008B662B">
      <w:pPr>
        <w:tabs>
          <w:tab w:val="left" w:pos="1701"/>
          <w:tab w:val="left" w:pos="1985"/>
        </w:tabs>
        <w:ind w:left="2124" w:hanging="2124"/>
        <w:rPr>
          <w:rFonts w:eastAsiaTheme="minorEastAsia"/>
        </w:rPr>
      </w:pPr>
      <w:r>
        <w:rPr>
          <w:rFonts w:eastAsiaTheme="minorEastAsia"/>
        </w:rPr>
        <w:tab/>
      </w:r>
      <w:r>
        <w:rPr>
          <w:rFonts w:eastAsiaTheme="minorEastAsia"/>
        </w:rPr>
        <w:tab/>
        <w:t xml:space="preserve">Es werden je zwei Wasserstoffatome aus dem unbekannten Gas benötigt, um ein Wassermolekül zu ergeben. </w:t>
      </w:r>
    </w:p>
    <w:p w:rsidR="008B662B" w:rsidRDefault="008B662B" w:rsidP="008B662B">
      <w:pPr>
        <w:tabs>
          <w:tab w:val="left" w:pos="1701"/>
          <w:tab w:val="left" w:pos="1985"/>
        </w:tabs>
        <w:ind w:left="2124" w:hanging="2124"/>
      </w:pPr>
      <w:r>
        <w:tab/>
      </w:r>
      <w:r>
        <w:tab/>
      </w:r>
      <m:oMath>
        <m:f>
          <m:fPr>
            <m:ctrlPr>
              <w:rPr>
                <w:rFonts w:ascii="Cambria Math" w:hAnsi="Cambria Math"/>
                <w:i/>
              </w:rPr>
            </m:ctrlPr>
          </m:fPr>
          <m:num>
            <m:r>
              <w:rPr>
                <w:rFonts w:ascii="Cambria Math" w:hAnsi="Cambria Math"/>
              </w:rPr>
              <m:t>n(H)</m:t>
            </m:r>
          </m:num>
          <m:den>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1</m:t>
            </m:r>
          </m:den>
        </m:f>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n</m:t>
        </m:r>
        <m:d>
          <m:dPr>
            <m:ctrlPr>
              <w:rPr>
                <w:rFonts w:ascii="Cambria Math" w:hAnsi="Cambria Math"/>
                <w:i/>
              </w:rPr>
            </m:ctrlPr>
          </m:dPr>
          <m:e>
            <m:r>
              <w:rPr>
                <w:rFonts w:ascii="Cambria Math" w:hAnsi="Cambria Math"/>
              </w:rPr>
              <m:t>H</m:t>
            </m:r>
          </m:e>
        </m:d>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d>
        <m:r>
          <w:rPr>
            <w:rFonts w:ascii="Cambria Math" w:hAnsi="Cambria Math"/>
          </w:rPr>
          <m:t xml:space="preserve">∙2 </m:t>
        </m:r>
      </m:oMath>
    </w:p>
    <w:p w:rsidR="008B662B" w:rsidRDefault="008B662B" w:rsidP="008B662B">
      <w:pPr>
        <w:ind w:left="1985" w:hanging="1985"/>
        <w:rPr>
          <w:rFonts w:eastAsiaTheme="minorEastAsia"/>
        </w:rPr>
      </w:pPr>
      <w:r>
        <w:rPr>
          <w:rFonts w:eastAsiaTheme="minorEastAsia"/>
        </w:rPr>
        <w:tab/>
        <w:t>Das U-Rohr mit dem Calciumchlorid ist um 0,05 g schwerer, wodurch sich folgendes ergibt:</w:t>
      </w:r>
    </w:p>
    <w:p w:rsidR="008B662B" w:rsidRDefault="008B662B" w:rsidP="008B662B">
      <w:pPr>
        <w:tabs>
          <w:tab w:val="left" w:pos="1701"/>
          <w:tab w:val="left" w:pos="1985"/>
        </w:tabs>
        <w:ind w:left="2124" w:hanging="2124"/>
        <w:rPr>
          <w:rFonts w:eastAsiaTheme="minorEastAsia"/>
        </w:rPr>
      </w:pPr>
      <w:r>
        <w:rPr>
          <w:rFonts w:eastAsiaTheme="minorEastAsia"/>
        </w:rPr>
        <w:tab/>
      </w:r>
      <w:r>
        <w:rPr>
          <w:rFonts w:eastAsiaTheme="minorEastAsia"/>
        </w:rPr>
        <w:tab/>
      </w:r>
      <m:oMath>
        <m:f>
          <m:fPr>
            <m:ctrlPr>
              <w:rPr>
                <w:rFonts w:ascii="Cambria Math" w:hAnsi="Cambria Math"/>
                <w:i/>
              </w:rPr>
            </m:ctrlPr>
          </m:fPr>
          <m:num>
            <m:r>
              <w:rPr>
                <w:rFonts w:ascii="Cambria Math" w:hAnsi="Cambria Math"/>
              </w:rPr>
              <m:t>m(H)</m:t>
            </m:r>
          </m:num>
          <m:den>
            <m:r>
              <w:rPr>
                <w:rFonts w:ascii="Cambria Math" w:hAnsi="Cambria Math"/>
              </w:rPr>
              <m:t>M(H)</m:t>
            </m:r>
          </m:den>
        </m:f>
        <m:r>
          <w:rPr>
            <w:rFonts w:ascii="Cambria Math" w:hAnsi="Cambria Math"/>
          </w:rPr>
          <m:t xml:space="preserve">= </m:t>
        </m:r>
        <m:f>
          <m:fPr>
            <m:ctrlPr>
              <w:rPr>
                <w:rFonts w:ascii="Cambria Math" w:hAnsi="Cambria Math"/>
                <w:i/>
              </w:rPr>
            </m:ctrlPr>
          </m:fPr>
          <m:num>
            <m:r>
              <w:rPr>
                <w:rFonts w:ascii="Cambria Math" w:hAnsi="Cambria Math"/>
              </w:rPr>
              <m:t>m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num>
          <m:den>
            <m:r>
              <w:rPr>
                <w:rFonts w:ascii="Cambria Math" w:hAnsi="Cambria Math"/>
              </w:rPr>
              <m:t>M(</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m</m:t>
        </m:r>
        <m:d>
          <m:dPr>
            <m:ctrlPr>
              <w:rPr>
                <w:rFonts w:ascii="Cambria Math" w:hAnsi="Cambria Math"/>
                <w:i/>
              </w:rPr>
            </m:ctrlPr>
          </m:dPr>
          <m:e>
            <m:r>
              <w:rPr>
                <w:rFonts w:ascii="Cambria Math" w:hAnsi="Cambria Math"/>
              </w:rPr>
              <m:t>H</m:t>
            </m:r>
          </m:e>
        </m:d>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d>
        <m:r>
          <w:rPr>
            <w:rFonts w:ascii="Cambria Math" w:hAnsi="Cambria Math"/>
          </w:rPr>
          <m:t xml:space="preserve">∙ </m:t>
        </m:r>
        <m:f>
          <m:fPr>
            <m:ctrlPr>
              <w:rPr>
                <w:rFonts w:ascii="Cambria Math" w:hAnsi="Cambria Math"/>
                <w:i/>
              </w:rPr>
            </m:ctrlPr>
          </m:fPr>
          <m:num>
            <m:r>
              <w:rPr>
                <w:rFonts w:ascii="Cambria Math" w:hAnsi="Cambria Math"/>
              </w:rPr>
              <m:t>2M(H)</m:t>
            </m:r>
          </m:num>
          <m:den>
            <m:r>
              <w:rPr>
                <w:rFonts w:ascii="Cambria Math" w:hAnsi="Cambria Math"/>
              </w:rPr>
              <m:t>M(</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oMath>
    </w:p>
    <w:p w:rsidR="008B662B" w:rsidRDefault="008B662B" w:rsidP="008B662B">
      <w:pPr>
        <w:tabs>
          <w:tab w:val="left" w:pos="1701"/>
          <w:tab w:val="left" w:pos="1985"/>
        </w:tabs>
        <w:ind w:left="2124" w:hanging="2124"/>
        <w:rPr>
          <w:rFonts w:eastAsiaTheme="minorEastAsia"/>
        </w:rPr>
      </w:pPr>
      <w:r>
        <w:rPr>
          <w:rFonts w:eastAsiaTheme="minorEastAsia"/>
        </w:rPr>
        <w:lastRenderedPageBreak/>
        <w:tab/>
      </w:r>
      <w:r>
        <w:rPr>
          <w:rFonts w:eastAsiaTheme="minorEastAsia"/>
        </w:rPr>
        <w:tab/>
      </w:r>
      <m:oMath>
        <m:r>
          <w:rPr>
            <w:rFonts w:ascii="Cambria Math" w:hAnsi="Cambria Math"/>
          </w:rPr>
          <m:t>m</m:t>
        </m:r>
        <m:d>
          <m:dPr>
            <m:ctrlPr>
              <w:rPr>
                <w:rFonts w:ascii="Cambria Math" w:hAnsi="Cambria Math"/>
                <w:i/>
              </w:rPr>
            </m:ctrlPr>
          </m:dPr>
          <m:e>
            <m:r>
              <w:rPr>
                <w:rFonts w:ascii="Cambria Math" w:hAnsi="Cambria Math"/>
              </w:rPr>
              <m:t>H</m:t>
            </m:r>
          </m:e>
        </m:d>
        <m:r>
          <w:rPr>
            <w:rFonts w:ascii="Cambria Math" w:hAnsi="Cambria Math"/>
          </w:rPr>
          <m:t xml:space="preserve">=0,077 g∙ </m:t>
        </m:r>
        <m:f>
          <m:fPr>
            <m:ctrlPr>
              <w:rPr>
                <w:rFonts w:ascii="Cambria Math" w:hAnsi="Cambria Math"/>
                <w:i/>
              </w:rPr>
            </m:ctrlPr>
          </m:fPr>
          <m:num>
            <m:r>
              <w:rPr>
                <w:rFonts w:ascii="Cambria Math" w:hAnsi="Cambria Math"/>
              </w:rPr>
              <m:t>2</m:t>
            </m:r>
            <m:f>
              <m:fPr>
                <m:ctrlPr>
                  <w:rPr>
                    <w:rFonts w:ascii="Cambria Math" w:hAnsi="Cambria Math"/>
                    <w:i/>
                  </w:rPr>
                </m:ctrlPr>
              </m:fPr>
              <m:num>
                <m:r>
                  <w:rPr>
                    <w:rFonts w:ascii="Cambria Math" w:hAnsi="Cambria Math"/>
                  </w:rPr>
                  <m:t>g</m:t>
                </m:r>
              </m:num>
              <m:den>
                <m:r>
                  <w:rPr>
                    <w:rFonts w:ascii="Cambria Math" w:hAnsi="Cambria Math"/>
                  </w:rPr>
                  <m:t>mol</m:t>
                </m:r>
              </m:den>
            </m:f>
          </m:num>
          <m:den>
            <m:r>
              <w:rPr>
                <w:rFonts w:ascii="Cambria Math" w:hAnsi="Cambria Math"/>
              </w:rPr>
              <m:t>18</m:t>
            </m:r>
            <m:f>
              <m:fPr>
                <m:ctrlPr>
                  <w:rPr>
                    <w:rFonts w:ascii="Cambria Math" w:hAnsi="Cambria Math"/>
                    <w:i/>
                  </w:rPr>
                </m:ctrlPr>
              </m:fPr>
              <m:num>
                <m:r>
                  <w:rPr>
                    <w:rFonts w:ascii="Cambria Math" w:hAnsi="Cambria Math"/>
                  </w:rPr>
                  <m:t>g</m:t>
                </m:r>
              </m:num>
              <m:den>
                <m:r>
                  <w:rPr>
                    <w:rFonts w:ascii="Cambria Math" w:hAnsi="Cambria Math"/>
                  </w:rPr>
                  <m:t>mol</m:t>
                </m:r>
              </m:den>
            </m:f>
          </m:den>
        </m:f>
        <m:r>
          <w:rPr>
            <w:rFonts w:ascii="Cambria Math" w:hAnsi="Cambria Math"/>
          </w:rPr>
          <m:t>=0,00856 g</m:t>
        </m:r>
      </m:oMath>
      <w:r>
        <w:rPr>
          <w:rFonts w:eastAsiaTheme="minorEastAsia"/>
        </w:rPr>
        <w:t xml:space="preserve"> </w:t>
      </w:r>
    </w:p>
    <w:p w:rsidR="008B662B" w:rsidRDefault="008B662B" w:rsidP="008B662B">
      <w:pPr>
        <w:tabs>
          <w:tab w:val="left" w:pos="1701"/>
          <w:tab w:val="left" w:pos="1985"/>
        </w:tabs>
        <w:ind w:left="2124" w:hanging="2124"/>
        <w:rPr>
          <w:rFonts w:eastAsiaTheme="minorEastAsia"/>
        </w:rPr>
      </w:pPr>
      <w:r>
        <w:rPr>
          <w:rFonts w:eastAsiaTheme="minorEastAsia"/>
        </w:rPr>
        <w:tab/>
      </w:r>
      <w:r>
        <w:rPr>
          <w:rFonts w:eastAsiaTheme="minorEastAsia"/>
        </w:rPr>
        <w:tab/>
        <w:t>Nun wird das Verhältnis von C- und H-Atomen berechnet:</w:t>
      </w:r>
    </w:p>
    <w:p w:rsidR="008B662B" w:rsidRDefault="008B662B" w:rsidP="008B662B">
      <w:pPr>
        <w:tabs>
          <w:tab w:val="left" w:pos="1701"/>
          <w:tab w:val="left" w:pos="1985"/>
        </w:tabs>
        <w:ind w:left="2124" w:hanging="2124"/>
        <w:rPr>
          <w:rFonts w:eastAsiaTheme="minorEastAsia"/>
        </w:rPr>
      </w:pPr>
      <w:r>
        <w:rPr>
          <w:rFonts w:eastAsiaTheme="minorEastAsia"/>
        </w:rPr>
        <w:tab/>
      </w:r>
      <w:r>
        <w:rPr>
          <w:rFonts w:eastAsiaTheme="minorEastAsia"/>
        </w:rPr>
        <w:tab/>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 n</m:t>
        </m:r>
        <m:d>
          <m:dPr>
            <m:ctrlPr>
              <w:rPr>
                <w:rFonts w:ascii="Cambria Math" w:eastAsiaTheme="minorEastAsia" w:hAnsi="Cambria Math"/>
                <w:i/>
              </w:rPr>
            </m:ctrlPr>
          </m:dPr>
          <m:e>
            <m:r>
              <w:rPr>
                <w:rFonts w:ascii="Cambria Math" w:eastAsiaTheme="minorEastAsia" w:hAnsi="Cambria Math"/>
              </w:rPr>
              <m:t>H</m:t>
            </m:r>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0,041 g</m:t>
            </m:r>
          </m:num>
          <m:den>
            <m:r>
              <w:rPr>
                <w:rFonts w:ascii="Cambria Math" w:eastAsiaTheme="minorEastAsia" w:hAnsi="Cambria Math"/>
              </w:rPr>
              <m:t>12</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0,00856 g</m:t>
            </m:r>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oMath>
      <w:r>
        <w:rPr>
          <w:rFonts w:eastAsiaTheme="minorEastAsia"/>
        </w:rPr>
        <w:t xml:space="preserve"> </w:t>
      </w:r>
      <m:oMath>
        <m:r>
          <w:rPr>
            <w:rFonts w:ascii="Cambria Math" w:eastAsiaTheme="minorEastAsia" w:hAnsi="Cambria Math"/>
          </w:rPr>
          <m:t>=0,4=4 :10</m:t>
        </m:r>
      </m:oMath>
    </w:p>
    <w:p w:rsidR="008B662B" w:rsidRDefault="008B662B" w:rsidP="008B662B">
      <w:pPr>
        <w:tabs>
          <w:tab w:val="left" w:pos="1701"/>
          <w:tab w:val="left" w:pos="1985"/>
        </w:tabs>
        <w:ind w:left="1985" w:hanging="2124"/>
        <w:rPr>
          <w:rFonts w:eastAsiaTheme="minorEastAsia"/>
        </w:rPr>
      </w:pPr>
      <w:r>
        <w:rPr>
          <w:rFonts w:eastAsiaTheme="minorEastAsia"/>
        </w:rPr>
        <w:tab/>
      </w:r>
      <w:r>
        <w:rPr>
          <w:rFonts w:eastAsiaTheme="minorEastAsia"/>
        </w:rPr>
        <w:tab/>
        <w:t>Somit sind im Butan wie zu erwarten 4 C-Atome und 10 H-Atome enthalten.</w:t>
      </w:r>
    </w:p>
    <w:p w:rsidR="008B662B" w:rsidRDefault="008B662B" w:rsidP="008B662B">
      <w:pPr>
        <w:tabs>
          <w:tab w:val="left" w:pos="1701"/>
          <w:tab w:val="left" w:pos="1985"/>
        </w:tabs>
        <w:ind w:left="1985" w:hanging="2124"/>
        <w:rPr>
          <w:rFonts w:eastAsiaTheme="minorEastAsia"/>
        </w:rPr>
      </w:pPr>
      <w:r>
        <w:rPr>
          <w:rFonts w:eastAsiaTheme="minorEastAsia"/>
        </w:rPr>
        <w:tab/>
      </w:r>
      <w:r>
        <w:rPr>
          <w:rFonts w:eastAsiaTheme="minorEastAsia"/>
        </w:rPr>
        <w:tab/>
        <w:t>Fehlerbetrachtung:</w:t>
      </w:r>
    </w:p>
    <w:p w:rsidR="008B662B" w:rsidRPr="007957AF" w:rsidRDefault="008B662B" w:rsidP="008B662B">
      <w:pPr>
        <w:tabs>
          <w:tab w:val="left" w:pos="1701"/>
          <w:tab w:val="left" w:pos="1985"/>
        </w:tabs>
        <w:ind w:left="1985" w:hanging="2124"/>
        <w:rPr>
          <w:rFonts w:eastAsiaTheme="minorEastAsia"/>
        </w:rPr>
      </w:pPr>
      <w:r>
        <w:rPr>
          <w:rFonts w:eastAsiaTheme="minorEastAsia"/>
        </w:rPr>
        <w:tab/>
      </w:r>
      <w:r>
        <w:rPr>
          <w:rFonts w:eastAsiaTheme="minorEastAsia"/>
        </w:rPr>
        <w:tab/>
        <w:t>Ein möglicher Grund für die großen Abweichungen der gemessenen und der zu erwarteten Werte ist, dass die Apparatur undicht gewesen sein könnte und somit die Gase entwichen sin können. Außerdem ist es möglich, dass die Verbindungen nicht vollständig reagiert haben und somit nicht das gesamte Butangas zu Wasser und Kohlenstoffdioxid umgesetzt wurde. Zusätzlich ist es möglich, dass die Substanzen, welche das Wasser und das Kohlenstoffdioxid absorbieren sollten, dieses nicht vollständig getan haben, wodurch ebenfalls Abweichungen entstanden sein können.</w:t>
      </w:r>
    </w:p>
    <w:p w:rsidR="008B662B" w:rsidRDefault="008B662B" w:rsidP="008B662B">
      <w:pPr>
        <w:ind w:left="1985" w:hanging="2124"/>
      </w:pPr>
      <w:r>
        <w:t>Entsorgung:</w:t>
      </w:r>
      <w:r>
        <w:tab/>
        <w:t xml:space="preserve">Die Entsorgung des Calciumchlorids und des Kupferoxids erfolgt über den Feststoffabfall. Das Natriumhydroxid kann vorsichtig in Wasser gelöst und in den Säure-Base-Abfall gegeben werden. </w:t>
      </w:r>
    </w:p>
    <w:p w:rsidR="008B662B" w:rsidRDefault="008B662B" w:rsidP="008B662B">
      <w:pPr>
        <w:tabs>
          <w:tab w:val="left" w:pos="1701"/>
          <w:tab w:val="left" w:pos="1985"/>
        </w:tabs>
        <w:ind w:left="2124" w:hanging="2124"/>
      </w:pPr>
      <w:r>
        <w:t xml:space="preserve"> </w:t>
      </w:r>
    </w:p>
    <w:p w:rsidR="008B662B" w:rsidRPr="00B937A2" w:rsidRDefault="008B662B" w:rsidP="008B662B">
      <w:pPr>
        <w:spacing w:line="276" w:lineRule="auto"/>
        <w:jc w:val="left"/>
        <w:rPr>
          <w:rFonts w:asciiTheme="majorHAnsi" w:hAnsiTheme="majorHAnsi"/>
        </w:rPr>
      </w:pPr>
      <w:r>
        <w:t>Literatur:</w:t>
      </w:r>
      <w:r>
        <w:tab/>
      </w:r>
      <w:r>
        <w:tab/>
      </w:r>
      <w:r w:rsidRPr="00943CDB">
        <w:t>http://www.seilnacht.com/Lexikon/orgkohl.html</w:t>
      </w:r>
      <w:r>
        <w:t xml:space="preserve"> (zuletzt aufgerufen am </w:t>
      </w:r>
      <w:r>
        <w:tab/>
      </w:r>
      <w:r>
        <w:tab/>
      </w:r>
      <w:r>
        <w:tab/>
        <w:t>14.08.2015 um 10:45 Uhr)</w:t>
      </w:r>
    </w:p>
    <w:p w:rsidR="002F6050" w:rsidRDefault="009D3BA4"/>
    <w:sectPr w:rsidR="002F6050" w:rsidSect="005B0270">
      <w:headerReference w:type="default" r:id="rId15"/>
      <w:pgSz w:w="11906" w:h="16838"/>
      <w:pgMar w:top="1417"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5B0270" w:rsidRPr="0080101C" w:rsidRDefault="009D3BA4" w:rsidP="007957AF">
        <w:pPr>
          <w:pStyle w:val="Kopfzeile"/>
          <w:tabs>
            <w:tab w:val="clear" w:pos="4536"/>
            <w:tab w:val="left" w:pos="0"/>
            <w:tab w:val="left" w:pos="284"/>
            <w:tab w:val="center" w:pos="8080"/>
          </w:tabs>
          <w:jc w:val="right"/>
          <w:rPr>
            <w:rFonts w:asciiTheme="majorHAnsi" w:hAnsiTheme="majorHAnsi"/>
            <w:sz w:val="20"/>
            <w:szCs w:val="20"/>
          </w:rPr>
        </w:pPr>
        <w:r>
          <w:fldChar w:fldCharType="begin"/>
        </w:r>
        <w:r>
          <w:instrText xml:space="preserve"> STYLEREF  "Überschrift 1" \n  \* MERGEFORMAT </w:instrText>
        </w:r>
        <w:r>
          <w:fldChar w:fldCharType="separate"/>
        </w:r>
        <w:r w:rsidRPr="009D3BA4">
          <w:rPr>
            <w:b/>
            <w:bCs/>
            <w:noProof/>
            <w:sz w:val="20"/>
          </w:rPr>
          <w:t>0</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Schülerversuch – V1 - Elementaranalyse eines Kohlenwasserstoffs</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5B0270" w:rsidRPr="0080101C" w:rsidRDefault="009D3BA4"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60673FAF" wp14:editId="7403149B">
              <wp:simplePos x="0" y="0"/>
              <wp:positionH relativeFrom="column">
                <wp:posOffset>-42545</wp:posOffset>
              </wp:positionH>
              <wp:positionV relativeFrom="paragraph">
                <wp:posOffset>38735</wp:posOffset>
              </wp:positionV>
              <wp:extent cx="5867400" cy="635"/>
              <wp:effectExtent l="0" t="0" r="19050" b="374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BE898"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mPKA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kRxmPKAIAAEc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2B"/>
    <w:rsid w:val="008B662B"/>
    <w:rsid w:val="009D3BA4"/>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6F4EC-066D-490E-A1E6-7B54EA97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62B"/>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B662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B662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B662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B662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B662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B662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B66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B66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B66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62B"/>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B662B"/>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B662B"/>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B662B"/>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B662B"/>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B662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B662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B662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B662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B662B"/>
    <w:pPr>
      <w:spacing w:line="240" w:lineRule="auto"/>
    </w:pPr>
    <w:rPr>
      <w:bCs/>
      <w:color w:val="auto"/>
      <w:sz w:val="18"/>
      <w:szCs w:val="18"/>
    </w:rPr>
  </w:style>
  <w:style w:type="paragraph" w:styleId="Kopfzeile">
    <w:name w:val="header"/>
    <w:basedOn w:val="Standard"/>
    <w:link w:val="KopfzeileZchn"/>
    <w:uiPriority w:val="99"/>
    <w:unhideWhenUsed/>
    <w:rsid w:val="008B66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662B"/>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2</cp:revision>
  <cp:lastPrinted>2015-08-26T18:59:00Z</cp:lastPrinted>
  <dcterms:created xsi:type="dcterms:W3CDTF">2015-08-26T18:59:00Z</dcterms:created>
  <dcterms:modified xsi:type="dcterms:W3CDTF">2015-08-26T19:00:00Z</dcterms:modified>
</cp:coreProperties>
</file>