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709" w:rsidRPr="00C21709" w:rsidRDefault="00C21709" w:rsidP="00C21709">
      <w:pPr>
        <w:pStyle w:val="berschrift1"/>
        <w:numPr>
          <w:ilvl w:val="0"/>
          <w:numId w:val="0"/>
        </w:numPr>
        <w:rPr>
          <w:sz w:val="24"/>
          <w:szCs w:val="24"/>
        </w:rPr>
      </w:pPr>
      <w:bookmarkStart w:id="0" w:name="_Toc427589884"/>
      <w:r w:rsidRPr="00C21709">
        <w:rPr>
          <w:noProof/>
          <w:sz w:val="24"/>
          <w:szCs w:val="24"/>
          <w:lang w:eastAsia="de-DE"/>
        </w:rPr>
        <w:pict>
          <v:rect id="_x0000_s1027" style="position:absolute;left:0;text-align:left;margin-left:-8.3pt;margin-top:42.7pt;width:466.1pt;height:78.8pt;z-index:251662336" filled="f" strokecolor="#548dd4 [1951]" strokeweight="1pt">
            <v:stroke dashstyle="dash"/>
          </v:rect>
        </w:pict>
      </w:r>
      <w:r w:rsidRPr="00C21709">
        <w:rPr>
          <w:sz w:val="24"/>
          <w:szCs w:val="24"/>
        </w:rPr>
        <w:t>Lehrerversuch – Die Säurestärke von Carbonsäuren</w:t>
      </w:r>
      <w:bookmarkEnd w:id="0"/>
    </w:p>
    <w:p w:rsidR="00C21709" w:rsidRPr="00792071" w:rsidRDefault="00C21709" w:rsidP="00C21709">
      <w:pPr>
        <w:rPr>
          <w:color w:val="auto"/>
        </w:rPr>
      </w:pPr>
      <w:r>
        <w:rPr>
          <w:color w:val="auto"/>
        </w:rPr>
        <w:t xml:space="preserve">In diesem Versuch soll die Abnahme der Säurestärke mit zunehmendem Alkylrest in der homologen Reihe der Monocarbonsäuren veranschaulicht werden. Der strukturelle Aufbau von </w:t>
      </w:r>
      <w:proofErr w:type="spellStart"/>
      <w:r>
        <w:rPr>
          <w:color w:val="auto"/>
        </w:rPr>
        <w:t>Alkansäuren</w:t>
      </w:r>
      <w:proofErr w:type="spellEnd"/>
      <w:r>
        <w:rPr>
          <w:color w:val="auto"/>
        </w:rPr>
        <w:t xml:space="preserve"> sollte den </w:t>
      </w:r>
      <w:proofErr w:type="spellStart"/>
      <w:r>
        <w:rPr>
          <w:color w:val="auto"/>
        </w:rPr>
        <w:t>SuS</w:t>
      </w:r>
      <w:proofErr w:type="spellEnd"/>
      <w:r>
        <w:rPr>
          <w:color w:val="auto"/>
        </w:rPr>
        <w:t xml:space="preserve"> bekannt sein, um den Versuch korrekt deuten zu können.</w:t>
      </w:r>
    </w:p>
    <w:p w:rsidR="00C21709" w:rsidRPr="00FC7CC1" w:rsidRDefault="00C21709" w:rsidP="00C21709"/>
    <w:tbl>
      <w:tblPr>
        <w:tblpPr w:leftFromText="141" w:rightFromText="141" w:vertAnchor="text" w:horzAnchor="margin" w:tblpY="118"/>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C21709" w:rsidRPr="00690D14" w:rsidTr="00CE253C">
        <w:tc>
          <w:tcPr>
            <w:tcW w:w="9322" w:type="dxa"/>
            <w:gridSpan w:val="9"/>
            <w:shd w:val="clear" w:color="auto" w:fill="4F81BD"/>
            <w:vAlign w:val="center"/>
          </w:tcPr>
          <w:p w:rsidR="00C21709" w:rsidRPr="00690D14" w:rsidRDefault="00C21709" w:rsidP="00CE253C">
            <w:pPr>
              <w:spacing w:after="0"/>
              <w:jc w:val="center"/>
              <w:rPr>
                <w:b/>
                <w:bCs/>
                <w:color w:val="auto"/>
              </w:rPr>
            </w:pPr>
            <w:r w:rsidRPr="00690D14">
              <w:rPr>
                <w:b/>
                <w:bCs/>
                <w:color w:val="auto"/>
              </w:rPr>
              <w:t>Gefahrenstoffe</w:t>
            </w:r>
          </w:p>
        </w:tc>
      </w:tr>
      <w:tr w:rsidR="00C21709" w:rsidRPr="00690D14" w:rsidTr="00CE253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21709" w:rsidRPr="00690D14" w:rsidRDefault="00C21709" w:rsidP="00CE253C">
            <w:pPr>
              <w:spacing w:after="0" w:line="276" w:lineRule="auto"/>
              <w:jc w:val="center"/>
              <w:rPr>
                <w:b/>
                <w:bCs/>
                <w:color w:val="auto"/>
              </w:rPr>
            </w:pPr>
            <w:r>
              <w:rPr>
                <w:color w:val="auto"/>
                <w:sz w:val="20"/>
              </w:rPr>
              <w:t xml:space="preserve">Ameisensäure (c = 1 </w:t>
            </w:r>
            <w:proofErr w:type="spellStart"/>
            <w:r>
              <w:rPr>
                <w:color w:val="auto"/>
                <w:sz w:val="20"/>
              </w:rPr>
              <w:t>mol</w:t>
            </w:r>
            <w:proofErr w:type="spellEnd"/>
            <w:r>
              <w:rPr>
                <w:color w:val="auto"/>
                <w:sz w:val="20"/>
              </w:rPr>
              <w:t>/L)</w:t>
            </w:r>
          </w:p>
        </w:tc>
        <w:tc>
          <w:tcPr>
            <w:tcW w:w="3177" w:type="dxa"/>
            <w:gridSpan w:val="3"/>
            <w:tcBorders>
              <w:top w:val="single" w:sz="8" w:space="0" w:color="4F81BD"/>
              <w:bottom w:val="single" w:sz="8" w:space="0" w:color="4F81BD"/>
            </w:tcBorders>
            <w:shd w:val="clear" w:color="auto" w:fill="auto"/>
            <w:vAlign w:val="center"/>
          </w:tcPr>
          <w:p w:rsidR="00C21709" w:rsidRPr="00690D14" w:rsidRDefault="00C21709" w:rsidP="00CE253C">
            <w:pPr>
              <w:spacing w:after="0"/>
              <w:jc w:val="center"/>
              <w:rPr>
                <w:color w:val="auto"/>
              </w:rPr>
            </w:pPr>
            <w:r w:rsidRPr="00690D14">
              <w:rPr>
                <w:color w:val="auto"/>
                <w:sz w:val="20"/>
              </w:rPr>
              <w:t xml:space="preserve">H: </w:t>
            </w:r>
            <w:r>
              <w:rPr>
                <w:color w:val="auto"/>
                <w:sz w:val="20"/>
              </w:rPr>
              <w:t>226, 314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21709" w:rsidRPr="00690D14" w:rsidRDefault="00C21709" w:rsidP="00CE253C">
            <w:pPr>
              <w:spacing w:after="0"/>
              <w:jc w:val="center"/>
              <w:rPr>
                <w:color w:val="auto"/>
              </w:rPr>
            </w:pPr>
            <w:r w:rsidRPr="00690D14">
              <w:rPr>
                <w:color w:val="auto"/>
                <w:sz w:val="20"/>
              </w:rPr>
              <w:t xml:space="preserve">P: </w:t>
            </w:r>
            <w:r>
              <w:rPr>
                <w:color w:val="auto"/>
                <w:sz w:val="20"/>
              </w:rPr>
              <w:t>260, 280, 301+330+331, 305+351+338</w:t>
            </w:r>
          </w:p>
        </w:tc>
      </w:tr>
      <w:tr w:rsidR="00C21709" w:rsidRPr="00690D14" w:rsidTr="00CE253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21709" w:rsidRPr="00690D14" w:rsidRDefault="00C21709" w:rsidP="00CE253C">
            <w:pPr>
              <w:spacing w:after="0" w:line="276" w:lineRule="auto"/>
              <w:jc w:val="center"/>
              <w:rPr>
                <w:color w:val="auto"/>
                <w:sz w:val="20"/>
              </w:rPr>
            </w:pPr>
            <w:r>
              <w:rPr>
                <w:color w:val="auto"/>
                <w:sz w:val="20"/>
              </w:rPr>
              <w:t xml:space="preserve">Essigsäure (c = 1 </w:t>
            </w:r>
            <w:proofErr w:type="spellStart"/>
            <w:r>
              <w:rPr>
                <w:color w:val="auto"/>
                <w:sz w:val="20"/>
              </w:rPr>
              <w:t>mol</w:t>
            </w:r>
            <w:proofErr w:type="spellEnd"/>
            <w:r>
              <w:rPr>
                <w:color w:val="auto"/>
                <w:sz w:val="20"/>
              </w:rPr>
              <w:t>/L)</w:t>
            </w:r>
          </w:p>
        </w:tc>
        <w:tc>
          <w:tcPr>
            <w:tcW w:w="3177" w:type="dxa"/>
            <w:gridSpan w:val="3"/>
            <w:tcBorders>
              <w:top w:val="single" w:sz="8" w:space="0" w:color="4F81BD"/>
              <w:bottom w:val="single" w:sz="8" w:space="0" w:color="4F81BD"/>
            </w:tcBorders>
            <w:shd w:val="clear" w:color="auto" w:fill="auto"/>
            <w:vAlign w:val="center"/>
          </w:tcPr>
          <w:p w:rsidR="00C21709" w:rsidRPr="00690D14" w:rsidRDefault="00C21709" w:rsidP="00CE253C">
            <w:pPr>
              <w:spacing w:after="0"/>
              <w:jc w:val="center"/>
              <w:rPr>
                <w:color w:val="auto"/>
                <w:sz w:val="20"/>
              </w:rPr>
            </w:pPr>
            <w:r>
              <w:rPr>
                <w:color w:val="auto"/>
                <w:sz w:val="20"/>
              </w:rPr>
              <w:t>H: 226,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21709" w:rsidRPr="00690D14" w:rsidRDefault="00C21709" w:rsidP="00CE253C">
            <w:pPr>
              <w:spacing w:after="0"/>
              <w:jc w:val="center"/>
              <w:rPr>
                <w:color w:val="auto"/>
                <w:sz w:val="20"/>
              </w:rPr>
            </w:pPr>
            <w:r>
              <w:rPr>
                <w:color w:val="auto"/>
                <w:sz w:val="20"/>
              </w:rPr>
              <w:t>P: 260, 280, 301+330+331, 305+351+338</w:t>
            </w:r>
          </w:p>
        </w:tc>
      </w:tr>
      <w:tr w:rsidR="00C21709" w:rsidRPr="00690D14" w:rsidTr="00CE253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21709" w:rsidRDefault="00C21709" w:rsidP="00CE253C">
            <w:pPr>
              <w:spacing w:after="0" w:line="276" w:lineRule="auto"/>
              <w:jc w:val="center"/>
              <w:rPr>
                <w:color w:val="auto"/>
                <w:sz w:val="20"/>
              </w:rPr>
            </w:pPr>
            <w:proofErr w:type="spellStart"/>
            <w:r>
              <w:rPr>
                <w:color w:val="auto"/>
                <w:sz w:val="20"/>
              </w:rPr>
              <w:t>Propionsäure</w:t>
            </w:r>
            <w:proofErr w:type="spellEnd"/>
            <w:r>
              <w:rPr>
                <w:color w:val="auto"/>
                <w:sz w:val="20"/>
              </w:rPr>
              <w:t xml:space="preserve"> (c = 1 </w:t>
            </w:r>
            <w:proofErr w:type="spellStart"/>
            <w:r>
              <w:rPr>
                <w:color w:val="auto"/>
                <w:sz w:val="20"/>
              </w:rPr>
              <w:t>mol</w:t>
            </w:r>
            <w:proofErr w:type="spellEnd"/>
            <w:r>
              <w:rPr>
                <w:color w:val="auto"/>
                <w:sz w:val="20"/>
              </w:rPr>
              <w:t>/L)</w:t>
            </w:r>
          </w:p>
        </w:tc>
        <w:tc>
          <w:tcPr>
            <w:tcW w:w="3177" w:type="dxa"/>
            <w:gridSpan w:val="3"/>
            <w:tcBorders>
              <w:top w:val="single" w:sz="8" w:space="0" w:color="4F81BD"/>
              <w:bottom w:val="single" w:sz="8" w:space="0" w:color="4F81BD"/>
            </w:tcBorders>
            <w:shd w:val="clear" w:color="auto" w:fill="auto"/>
            <w:vAlign w:val="center"/>
          </w:tcPr>
          <w:p w:rsidR="00C21709" w:rsidRDefault="00C21709" w:rsidP="00CE253C">
            <w:pPr>
              <w:spacing w:after="0"/>
              <w:jc w:val="center"/>
              <w:rPr>
                <w:color w:val="auto"/>
                <w:sz w:val="20"/>
              </w:rPr>
            </w:pPr>
            <w:r>
              <w:rPr>
                <w:color w:val="auto"/>
                <w:sz w:val="20"/>
              </w:rPr>
              <w:t>H: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21709" w:rsidRDefault="00C21709" w:rsidP="00CE253C">
            <w:pPr>
              <w:spacing w:after="0"/>
              <w:jc w:val="center"/>
              <w:rPr>
                <w:color w:val="auto"/>
                <w:sz w:val="20"/>
              </w:rPr>
            </w:pPr>
            <w:r>
              <w:rPr>
                <w:color w:val="auto"/>
                <w:sz w:val="20"/>
              </w:rPr>
              <w:t>P:260, 280, 301+330+331, 305+351+338</w:t>
            </w:r>
          </w:p>
        </w:tc>
      </w:tr>
      <w:tr w:rsidR="00C21709" w:rsidRPr="00690D14" w:rsidTr="00CE253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21709" w:rsidRDefault="00C21709" w:rsidP="00CE253C">
            <w:pPr>
              <w:spacing w:after="0" w:line="276" w:lineRule="auto"/>
              <w:jc w:val="center"/>
              <w:rPr>
                <w:color w:val="auto"/>
                <w:sz w:val="20"/>
              </w:rPr>
            </w:pPr>
            <w:r>
              <w:rPr>
                <w:color w:val="auto"/>
                <w:sz w:val="20"/>
              </w:rPr>
              <w:t>Magnesiumband</w:t>
            </w:r>
          </w:p>
        </w:tc>
        <w:tc>
          <w:tcPr>
            <w:tcW w:w="3177" w:type="dxa"/>
            <w:gridSpan w:val="3"/>
            <w:tcBorders>
              <w:top w:val="single" w:sz="8" w:space="0" w:color="4F81BD"/>
              <w:bottom w:val="single" w:sz="8" w:space="0" w:color="4F81BD"/>
            </w:tcBorders>
            <w:shd w:val="clear" w:color="auto" w:fill="auto"/>
            <w:vAlign w:val="center"/>
          </w:tcPr>
          <w:p w:rsidR="00C21709" w:rsidRDefault="00C21709" w:rsidP="00CE253C">
            <w:pPr>
              <w:spacing w:after="0"/>
              <w:jc w:val="center"/>
              <w:rPr>
                <w:color w:val="auto"/>
                <w:sz w:val="20"/>
              </w:rPr>
            </w:pPr>
            <w:r>
              <w:rPr>
                <w:color w:val="auto"/>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21709" w:rsidRDefault="00C21709" w:rsidP="00CE253C">
            <w:pPr>
              <w:spacing w:after="0"/>
              <w:jc w:val="center"/>
              <w:rPr>
                <w:color w:val="auto"/>
                <w:sz w:val="20"/>
              </w:rPr>
            </w:pPr>
            <w:r>
              <w:rPr>
                <w:color w:val="auto"/>
                <w:sz w:val="20"/>
              </w:rPr>
              <w:t xml:space="preserve"> P: -</w:t>
            </w:r>
          </w:p>
        </w:tc>
      </w:tr>
      <w:tr w:rsidR="00C21709" w:rsidRPr="00690D14" w:rsidTr="00CE253C">
        <w:tc>
          <w:tcPr>
            <w:tcW w:w="1009" w:type="dxa"/>
            <w:tcBorders>
              <w:top w:val="single" w:sz="8" w:space="0" w:color="4F81BD"/>
              <w:left w:val="single" w:sz="8" w:space="0" w:color="4F81BD"/>
              <w:bottom w:val="single" w:sz="8" w:space="0" w:color="4F81BD"/>
            </w:tcBorders>
            <w:shd w:val="clear" w:color="auto" w:fill="auto"/>
            <w:vAlign w:val="center"/>
          </w:tcPr>
          <w:p w:rsidR="00C21709" w:rsidRPr="00690D14" w:rsidRDefault="00C21709" w:rsidP="00CE253C">
            <w:pPr>
              <w:spacing w:after="0"/>
              <w:jc w:val="center"/>
              <w:rPr>
                <w:b/>
                <w:bCs/>
                <w:color w:val="auto"/>
              </w:rPr>
            </w:pPr>
            <w:r>
              <w:rPr>
                <w:b/>
                <w:noProof/>
                <w:color w:val="auto"/>
                <w:lang w:eastAsia="de-DE"/>
              </w:rPr>
              <w:drawing>
                <wp:inline distT="0" distB="0" distL="0" distR="0">
                  <wp:extent cx="498475" cy="498475"/>
                  <wp:effectExtent l="19050" t="0" r="0" b="0"/>
                  <wp:docPr id="2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21709" w:rsidRPr="00690D14" w:rsidRDefault="00C21709" w:rsidP="00CE253C">
            <w:pPr>
              <w:spacing w:after="0"/>
              <w:jc w:val="center"/>
              <w:rPr>
                <w:color w:val="auto"/>
              </w:rPr>
            </w:pPr>
            <w:r>
              <w:rPr>
                <w:noProof/>
                <w:color w:val="auto"/>
                <w:lang w:eastAsia="de-DE"/>
              </w:rPr>
              <w:drawing>
                <wp:inline distT="0" distB="0" distL="0" distR="0">
                  <wp:extent cx="498475" cy="498475"/>
                  <wp:effectExtent l="19050" t="0" r="0" b="0"/>
                  <wp:docPr id="2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6"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21709" w:rsidRPr="00690D14" w:rsidRDefault="00C21709" w:rsidP="00CE253C">
            <w:pPr>
              <w:spacing w:after="0"/>
              <w:jc w:val="center"/>
              <w:rPr>
                <w:color w:val="auto"/>
              </w:rPr>
            </w:pPr>
            <w:r>
              <w:rPr>
                <w:noProof/>
                <w:color w:val="auto"/>
                <w:lang w:eastAsia="de-DE"/>
              </w:rPr>
              <w:drawing>
                <wp:inline distT="0" distB="0" distL="0" distR="0">
                  <wp:extent cx="498475" cy="498475"/>
                  <wp:effectExtent l="19050" t="0" r="0" b="0"/>
                  <wp:docPr id="2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7"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21709" w:rsidRPr="00690D14" w:rsidRDefault="00C21709" w:rsidP="00CE253C">
            <w:pPr>
              <w:spacing w:after="0"/>
              <w:jc w:val="center"/>
              <w:rPr>
                <w:color w:val="auto"/>
              </w:rPr>
            </w:pPr>
            <w:r>
              <w:rPr>
                <w:noProof/>
                <w:color w:val="auto"/>
                <w:lang w:eastAsia="de-DE"/>
              </w:rPr>
              <w:drawing>
                <wp:inline distT="0" distB="0" distL="0" distR="0">
                  <wp:extent cx="498475" cy="498475"/>
                  <wp:effectExtent l="19050" t="0" r="0" b="0"/>
                  <wp:docPr id="2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8"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21709" w:rsidRPr="00690D14" w:rsidRDefault="00C21709" w:rsidP="00CE253C">
            <w:pPr>
              <w:spacing w:after="0"/>
              <w:jc w:val="center"/>
              <w:rPr>
                <w:color w:val="auto"/>
              </w:rPr>
            </w:pPr>
            <w:r>
              <w:rPr>
                <w:noProof/>
                <w:color w:val="auto"/>
                <w:lang w:eastAsia="de-DE"/>
              </w:rPr>
              <w:drawing>
                <wp:inline distT="0" distB="0" distL="0" distR="0">
                  <wp:extent cx="498475" cy="498475"/>
                  <wp:effectExtent l="19050" t="0" r="0" b="0"/>
                  <wp:docPr id="3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9"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21709" w:rsidRPr="00690D14" w:rsidRDefault="00C21709" w:rsidP="00CE253C">
            <w:pPr>
              <w:spacing w:after="0"/>
              <w:jc w:val="center"/>
              <w:rPr>
                <w:color w:val="auto"/>
              </w:rPr>
            </w:pPr>
            <w:r>
              <w:rPr>
                <w:noProof/>
                <w:color w:val="auto"/>
                <w:lang w:eastAsia="de-DE"/>
              </w:rPr>
              <w:drawing>
                <wp:inline distT="0" distB="0" distL="0" distR="0">
                  <wp:extent cx="498475" cy="498475"/>
                  <wp:effectExtent l="19050" t="0" r="0" b="0"/>
                  <wp:docPr id="3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0"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21709" w:rsidRPr="00690D14" w:rsidRDefault="00C21709" w:rsidP="00CE253C">
            <w:pPr>
              <w:spacing w:after="0"/>
              <w:jc w:val="center"/>
              <w:rPr>
                <w:color w:val="auto"/>
              </w:rPr>
            </w:pPr>
            <w:r>
              <w:rPr>
                <w:noProof/>
                <w:color w:val="auto"/>
                <w:lang w:eastAsia="de-DE"/>
              </w:rPr>
              <w:drawing>
                <wp:inline distT="0" distB="0" distL="0" distR="0">
                  <wp:extent cx="498475" cy="498475"/>
                  <wp:effectExtent l="19050" t="0" r="0" b="0"/>
                  <wp:docPr id="3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1"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21709" w:rsidRPr="00690D14" w:rsidRDefault="00C21709" w:rsidP="00CE253C">
            <w:pPr>
              <w:spacing w:after="0"/>
              <w:jc w:val="center"/>
              <w:rPr>
                <w:color w:val="auto"/>
              </w:rPr>
            </w:pPr>
            <w:r>
              <w:rPr>
                <w:noProof/>
                <w:color w:val="auto"/>
                <w:lang w:eastAsia="de-DE"/>
              </w:rPr>
              <w:drawing>
                <wp:inline distT="0" distB="0" distL="0" distR="0">
                  <wp:extent cx="498475" cy="498475"/>
                  <wp:effectExtent l="19050" t="0" r="0" b="0"/>
                  <wp:docPr id="40" name="Bild 186"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Reizend"/>
                          <pic:cNvPicPr>
                            <a:picLocks noChangeAspect="1" noChangeArrowheads="1"/>
                          </pic:cNvPicPr>
                        </pic:nvPicPr>
                        <pic:blipFill>
                          <a:blip r:embed="rId12"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21709" w:rsidRPr="00690D14" w:rsidRDefault="00C21709" w:rsidP="00CE253C">
            <w:pPr>
              <w:spacing w:after="0"/>
              <w:jc w:val="center"/>
              <w:rPr>
                <w:color w:val="auto"/>
              </w:rPr>
            </w:pPr>
            <w:r>
              <w:rPr>
                <w:noProof/>
                <w:color w:val="auto"/>
                <w:lang w:eastAsia="de-DE"/>
              </w:rPr>
              <w:drawing>
                <wp:inline distT="0" distB="0" distL="0" distR="0">
                  <wp:extent cx="498475" cy="498475"/>
                  <wp:effectExtent l="19050" t="0" r="0" b="0"/>
                  <wp:docPr id="4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3"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r>
    </w:tbl>
    <w:p w:rsidR="00C21709" w:rsidRDefault="00C21709" w:rsidP="00C21709">
      <w:pPr>
        <w:tabs>
          <w:tab w:val="left" w:pos="1701"/>
          <w:tab w:val="left" w:pos="1985"/>
          <w:tab w:val="left" w:pos="7485"/>
        </w:tabs>
        <w:rPr>
          <w:b/>
        </w:rPr>
      </w:pPr>
    </w:p>
    <w:p w:rsidR="00C21709" w:rsidRDefault="00C21709" w:rsidP="00C21709">
      <w:pPr>
        <w:tabs>
          <w:tab w:val="left" w:pos="1701"/>
          <w:tab w:val="left" w:pos="1985"/>
          <w:tab w:val="left" w:pos="7485"/>
        </w:tabs>
        <w:ind w:left="1980" w:hanging="1980"/>
      </w:pPr>
      <w:r>
        <w:t xml:space="preserve">Materialien: </w:t>
      </w:r>
      <w:r>
        <w:tab/>
      </w:r>
      <w:r>
        <w:tab/>
        <w:t>3 Reagenzgläser, Reagenzglasständer, Pinzette, Universalindikator</w:t>
      </w:r>
    </w:p>
    <w:p w:rsidR="00C21709" w:rsidRPr="00ED07C2" w:rsidRDefault="00C21709" w:rsidP="00C21709">
      <w:pPr>
        <w:tabs>
          <w:tab w:val="left" w:pos="1701"/>
          <w:tab w:val="left" w:pos="1985"/>
        </w:tabs>
        <w:ind w:left="1980" w:hanging="1980"/>
      </w:pPr>
      <w:r>
        <w:t>Chemikalien:</w:t>
      </w:r>
      <w:r>
        <w:tab/>
      </w:r>
      <w:r>
        <w:tab/>
        <w:t>Ameisensäure (Methansäure), Essigsäure (</w:t>
      </w:r>
      <w:proofErr w:type="spellStart"/>
      <w:r>
        <w:t>Ethansäure</w:t>
      </w:r>
      <w:proofErr w:type="spellEnd"/>
      <w:r>
        <w:t xml:space="preserve">), </w:t>
      </w:r>
      <w:proofErr w:type="spellStart"/>
      <w:r>
        <w:t>Propionsäure</w:t>
      </w:r>
      <w:proofErr w:type="spellEnd"/>
      <w:r>
        <w:t xml:space="preserve"> (Propansäure), Magnesiumband, destilliertes Wasser</w:t>
      </w:r>
    </w:p>
    <w:p w:rsidR="00C21709" w:rsidRDefault="00C21709" w:rsidP="00C21709">
      <w:pPr>
        <w:tabs>
          <w:tab w:val="left" w:pos="1701"/>
          <w:tab w:val="left" w:pos="1985"/>
        </w:tabs>
        <w:ind w:left="1980" w:hanging="1980"/>
      </w:pPr>
      <w:r>
        <w:t xml:space="preserve">Durchführung: </w:t>
      </w:r>
      <w:r>
        <w:tab/>
      </w:r>
      <w:r>
        <w:tab/>
        <w:t xml:space="preserve">a) Von den Säuren werden jeweils 2 </w:t>
      </w:r>
      <w:proofErr w:type="spellStart"/>
      <w:r>
        <w:t>mL</w:t>
      </w:r>
      <w:proofErr w:type="spellEnd"/>
      <w:r>
        <w:t xml:space="preserve"> saure Lösung mit der Konzentration 1 </w:t>
      </w:r>
      <w:proofErr w:type="spellStart"/>
      <w:r>
        <w:t>mol</w:t>
      </w:r>
      <w:proofErr w:type="spellEnd"/>
      <w:r>
        <w:t>/L hergestellt. Anschließend wird mit Hilfe von Universalindikatorpapier der pH-Wert ermittelt. Hierzu wird mit einer Pinzette das Universalindikatorpapier in die Lösung getaucht.</w:t>
      </w:r>
    </w:p>
    <w:p w:rsidR="00C21709" w:rsidRDefault="00C21709" w:rsidP="00C21709">
      <w:pPr>
        <w:tabs>
          <w:tab w:val="left" w:pos="1701"/>
          <w:tab w:val="left" w:pos="1985"/>
        </w:tabs>
        <w:ind w:left="1980" w:hanging="1980"/>
      </w:pPr>
      <w:r>
        <w:tab/>
      </w:r>
      <w:r>
        <w:tab/>
        <w:t xml:space="preserve">b) Es werden jeweils ein kleines Stück (ca. 0,5 cm) Magnesiumband hinzugefügt. </w:t>
      </w:r>
    </w:p>
    <w:p w:rsidR="00C21709" w:rsidRDefault="00C21709" w:rsidP="00C21709">
      <w:pPr>
        <w:tabs>
          <w:tab w:val="left" w:pos="1701"/>
          <w:tab w:val="left" w:pos="1985"/>
        </w:tabs>
        <w:ind w:left="1980" w:hanging="1980"/>
      </w:pPr>
      <w:r>
        <w:t xml:space="preserve">Beobachtung: </w:t>
      </w:r>
      <w:r>
        <w:tab/>
      </w:r>
      <w:r>
        <w:tab/>
        <w:t xml:space="preserve">a) Das Indikatorpapier verfärbt sich bei den Lösungen rötlich, wobei eine Abnahme der Rotintensität von der Ameisensäure zur </w:t>
      </w:r>
      <w:proofErr w:type="spellStart"/>
      <w:r>
        <w:t>Propionsäure</w:t>
      </w:r>
      <w:proofErr w:type="spellEnd"/>
      <w:r>
        <w:t xml:space="preserve"> zu beobachten ist (siehe Abbildung 1).</w:t>
      </w:r>
    </w:p>
    <w:p w:rsidR="00C21709" w:rsidRDefault="00C21709" w:rsidP="00C21709">
      <w:pPr>
        <w:tabs>
          <w:tab w:val="left" w:pos="1701"/>
          <w:tab w:val="left" w:pos="1985"/>
        </w:tabs>
        <w:ind w:left="1980" w:hanging="1980"/>
      </w:pPr>
      <w:r>
        <w:tab/>
      </w:r>
      <w:r>
        <w:tab/>
        <w:t xml:space="preserve">b) Es ist bei allen drei Säuren eine Bläschenbildung zu beobachten, welche von der Ameisensäure zur </w:t>
      </w:r>
      <w:proofErr w:type="spellStart"/>
      <w:r>
        <w:t>Propionsäure</w:t>
      </w:r>
      <w:proofErr w:type="spellEnd"/>
      <w:r>
        <w:t xml:space="preserve"> abnimmt.</w:t>
      </w:r>
    </w:p>
    <w:p w:rsidR="00C21709" w:rsidRDefault="00C21709" w:rsidP="00C21709">
      <w:pPr>
        <w:tabs>
          <w:tab w:val="left" w:pos="1701"/>
          <w:tab w:val="left" w:pos="1985"/>
        </w:tabs>
        <w:ind w:left="1985" w:hanging="1985"/>
      </w:pPr>
      <w:r>
        <w:rPr>
          <w:noProof/>
          <w:lang w:eastAsia="de-DE"/>
        </w:rPr>
        <w:lastRenderedPageBreak/>
        <w:drawing>
          <wp:anchor distT="0" distB="0" distL="114300" distR="114300" simplePos="0" relativeHeight="251661312" behindDoc="1" locked="0" layoutInCell="1" allowOverlap="1">
            <wp:simplePos x="0" y="0"/>
            <wp:positionH relativeFrom="column">
              <wp:posOffset>2247265</wp:posOffset>
            </wp:positionH>
            <wp:positionV relativeFrom="paragraph">
              <wp:posOffset>-9525</wp:posOffset>
            </wp:positionV>
            <wp:extent cx="2555240" cy="1588135"/>
            <wp:effectExtent l="19050" t="0" r="0" b="0"/>
            <wp:wrapTight wrapText="bothSides">
              <wp:wrapPolygon edited="0">
                <wp:start x="-161" y="0"/>
                <wp:lineTo x="-161" y="21246"/>
                <wp:lineTo x="21579" y="21246"/>
                <wp:lineTo x="21579" y="0"/>
                <wp:lineTo x="-161" y="0"/>
              </wp:wrapPolygon>
            </wp:wrapTight>
            <wp:docPr id="37" name="Grafik 4" descr="IMG_8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39.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a:xfrm>
                      <a:off x="0" y="0"/>
                      <a:ext cx="2555240" cy="1588135"/>
                    </a:xfrm>
                    <a:prstGeom prst="rect">
                      <a:avLst/>
                    </a:prstGeom>
                  </pic:spPr>
                </pic:pic>
              </a:graphicData>
            </a:graphic>
          </wp:anchor>
        </w:drawing>
      </w:r>
    </w:p>
    <w:p w:rsidR="00C21709" w:rsidRDefault="00C21709" w:rsidP="00C21709">
      <w:pPr>
        <w:tabs>
          <w:tab w:val="left" w:pos="1701"/>
          <w:tab w:val="left" w:pos="1985"/>
        </w:tabs>
        <w:ind w:left="1985" w:hanging="1985"/>
      </w:pPr>
    </w:p>
    <w:p w:rsidR="00C21709" w:rsidRDefault="00C21709" w:rsidP="00C21709">
      <w:pPr>
        <w:tabs>
          <w:tab w:val="left" w:pos="1701"/>
          <w:tab w:val="left" w:pos="1985"/>
        </w:tabs>
        <w:ind w:left="1985" w:hanging="1985"/>
      </w:pPr>
    </w:p>
    <w:p w:rsidR="00C21709" w:rsidRDefault="00C21709" w:rsidP="00C21709">
      <w:pPr>
        <w:tabs>
          <w:tab w:val="left" w:pos="1701"/>
          <w:tab w:val="left" w:pos="1985"/>
        </w:tabs>
        <w:ind w:left="1985" w:hanging="1985"/>
      </w:pPr>
    </w:p>
    <w:p w:rsidR="00C21709" w:rsidRDefault="00C21709" w:rsidP="00C21709">
      <w:pPr>
        <w:tabs>
          <w:tab w:val="left" w:pos="1701"/>
          <w:tab w:val="left" w:pos="1985"/>
        </w:tabs>
        <w:ind w:left="1985" w:hanging="1985"/>
      </w:pPr>
      <w:r>
        <w:rPr>
          <w:noProof/>
          <w:lang w:eastAsia="de-DE"/>
        </w:rPr>
        <w:pict>
          <v:shapetype id="_x0000_t202" coordsize="21600,21600" o:spt="202" path="m,l,21600r21600,l21600,xe">
            <v:stroke joinstyle="miter"/>
            <v:path gradientshapeok="t" o:connecttype="rect"/>
          </v:shapetype>
          <v:shape id="_x0000_s1028" type="#_x0000_t202" style="position:absolute;left:0;text-align:left;margin-left:90.2pt;margin-top:7.8pt;width:356.2pt;height:39.8pt;z-index:251663360" stroked="f">
            <v:textbox style="mso-next-textbox:#_x0000_s1028">
              <w:txbxContent>
                <w:p w:rsidR="00C21709" w:rsidRPr="008A0AD4" w:rsidRDefault="00C21709" w:rsidP="00C21709">
                  <w:pPr>
                    <w:rPr>
                      <w:sz w:val="20"/>
                      <w:szCs w:val="20"/>
                    </w:rPr>
                  </w:pPr>
                  <w:r w:rsidRPr="00275AF6">
                    <w:rPr>
                      <w:sz w:val="20"/>
                      <w:szCs w:val="20"/>
                    </w:rPr>
                    <w:t xml:space="preserve">Abbildung </w:t>
                  </w:r>
                  <w:r>
                    <w:rPr>
                      <w:sz w:val="20"/>
                      <w:szCs w:val="20"/>
                    </w:rPr>
                    <w:t>3</w:t>
                  </w:r>
                  <w:r w:rsidRPr="00275AF6">
                    <w:rPr>
                      <w:sz w:val="20"/>
                      <w:szCs w:val="20"/>
                    </w:rPr>
                    <w:t>: Bechergläser mit 1M Ameisensäure (links), Essigsäure (</w:t>
                  </w:r>
                  <w:proofErr w:type="spellStart"/>
                  <w:r w:rsidRPr="00275AF6">
                    <w:rPr>
                      <w:sz w:val="20"/>
                      <w:szCs w:val="20"/>
                    </w:rPr>
                    <w:t>mitte</w:t>
                  </w:r>
                  <w:proofErr w:type="spellEnd"/>
                  <w:r w:rsidRPr="00275AF6">
                    <w:rPr>
                      <w:sz w:val="20"/>
                      <w:szCs w:val="20"/>
                    </w:rPr>
                    <w:t xml:space="preserve">), </w:t>
                  </w:r>
                  <w:proofErr w:type="spellStart"/>
                  <w:r w:rsidRPr="00275AF6">
                    <w:rPr>
                      <w:sz w:val="20"/>
                      <w:szCs w:val="20"/>
                    </w:rPr>
                    <w:t>Propionsäure</w:t>
                  </w:r>
                  <w:proofErr w:type="spellEnd"/>
                  <w:r w:rsidRPr="00275AF6">
                    <w:rPr>
                      <w:sz w:val="20"/>
                      <w:szCs w:val="20"/>
                    </w:rPr>
                    <w:t xml:space="preserve"> (rechts) und Indikatorpapier.</w:t>
                  </w:r>
                </w:p>
              </w:txbxContent>
            </v:textbox>
          </v:shape>
        </w:pict>
      </w:r>
    </w:p>
    <w:p w:rsidR="00C21709" w:rsidRDefault="00C21709" w:rsidP="00C21709">
      <w:pPr>
        <w:tabs>
          <w:tab w:val="left" w:pos="1701"/>
          <w:tab w:val="left" w:pos="1985"/>
        </w:tabs>
        <w:ind w:left="1985" w:hanging="1985"/>
      </w:pPr>
    </w:p>
    <w:p w:rsidR="00C21709" w:rsidRDefault="00C21709" w:rsidP="00C21709">
      <w:pPr>
        <w:tabs>
          <w:tab w:val="left" w:pos="1701"/>
          <w:tab w:val="left" w:pos="1985"/>
        </w:tabs>
        <w:ind w:left="1985" w:hanging="1985"/>
      </w:pPr>
      <w:r>
        <w:t xml:space="preserve">Deutung:                 </w:t>
      </w:r>
      <w:r>
        <w:tab/>
      </w:r>
      <w:r>
        <w:tab/>
        <w:t xml:space="preserve">a) Die Abnahme der Säurestärke lässt sich mit Hilfe des positiven induktiven Effekts durch die zusätzliche Methylgruppe erklären, die von der Ameisensäure zur Essigsäure (siehe Abbildung 4) bzw. von der Essigsäure zur </w:t>
      </w:r>
      <w:proofErr w:type="spellStart"/>
      <w:r>
        <w:t>Propionsäure</w:t>
      </w:r>
      <w:proofErr w:type="spellEnd"/>
      <w:r>
        <w:t xml:space="preserve"> dazu kommt. Die Bindung zwischen dem Wasserstoff- und Sauerstoffatom der Hydroxylgruppe wird dadurch immer weniger polarisiert, so dass eine </w:t>
      </w:r>
      <w:proofErr w:type="spellStart"/>
      <w:r>
        <w:t>Deprotonierung</w:t>
      </w:r>
      <w:proofErr w:type="spellEnd"/>
      <w:r>
        <w:t xml:space="preserve"> mit zunehmender Alkylrestkette erschwert wird.</w:t>
      </w:r>
    </w:p>
    <w:p w:rsidR="00C21709" w:rsidRDefault="00C21709" w:rsidP="00C21709">
      <w:pPr>
        <w:tabs>
          <w:tab w:val="left" w:pos="1701"/>
          <w:tab w:val="left" w:pos="1985"/>
        </w:tabs>
        <w:ind w:left="1985" w:hanging="1985"/>
      </w:pPr>
      <w:r>
        <w:rPr>
          <w:noProof/>
          <w:lang w:eastAsia="de-DE"/>
        </w:rPr>
        <w:drawing>
          <wp:anchor distT="0" distB="0" distL="114300" distR="114300" simplePos="0" relativeHeight="251668480" behindDoc="1" locked="0" layoutInCell="1" allowOverlap="1">
            <wp:simplePos x="0" y="0"/>
            <wp:positionH relativeFrom="column">
              <wp:posOffset>3656330</wp:posOffset>
            </wp:positionH>
            <wp:positionV relativeFrom="paragraph">
              <wp:posOffset>165735</wp:posOffset>
            </wp:positionV>
            <wp:extent cx="1000125" cy="793115"/>
            <wp:effectExtent l="19050" t="0" r="9525" b="0"/>
            <wp:wrapTight wrapText="bothSides">
              <wp:wrapPolygon edited="0">
                <wp:start x="-411" y="0"/>
                <wp:lineTo x="-411" y="21271"/>
                <wp:lineTo x="21806" y="21271"/>
                <wp:lineTo x="21806" y="0"/>
                <wp:lineTo x="-411" y="0"/>
              </wp:wrapPolygon>
            </wp:wrapTight>
            <wp:docPr id="18" name="Bild 3" descr="C:\Users\marie-lena\Desktop\noname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e-lena\Desktop\noname03.bmp"/>
                    <pic:cNvPicPr>
                      <a:picLocks noChangeAspect="1" noChangeArrowheads="1"/>
                    </pic:cNvPicPr>
                  </pic:nvPicPr>
                  <pic:blipFill>
                    <a:blip r:embed="rId15" cstate="print">
                      <a:lum contrast="40000"/>
                    </a:blip>
                    <a:srcRect/>
                    <a:stretch>
                      <a:fillRect/>
                    </a:stretch>
                  </pic:blipFill>
                  <pic:spPr bwMode="auto">
                    <a:xfrm>
                      <a:off x="0" y="0"/>
                      <a:ext cx="1000125" cy="79311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4384" behindDoc="1" locked="0" layoutInCell="1" allowOverlap="1">
            <wp:simplePos x="0" y="0"/>
            <wp:positionH relativeFrom="column">
              <wp:posOffset>2034540</wp:posOffset>
            </wp:positionH>
            <wp:positionV relativeFrom="paragraph">
              <wp:posOffset>165735</wp:posOffset>
            </wp:positionV>
            <wp:extent cx="877570" cy="775970"/>
            <wp:effectExtent l="19050" t="0" r="0" b="0"/>
            <wp:wrapTight wrapText="bothSides">
              <wp:wrapPolygon edited="0">
                <wp:start x="7971" y="530"/>
                <wp:lineTo x="7971" y="9015"/>
                <wp:lineTo x="2813" y="17499"/>
                <wp:lineTo x="0" y="17499"/>
                <wp:lineTo x="-469" y="21211"/>
                <wp:lineTo x="21569" y="21211"/>
                <wp:lineTo x="21569" y="18029"/>
                <wp:lineTo x="17349" y="17499"/>
                <wp:lineTo x="11253" y="9015"/>
                <wp:lineTo x="11253" y="530"/>
                <wp:lineTo x="7971" y="530"/>
              </wp:wrapPolygon>
            </wp:wrapTight>
            <wp:docPr id="4" name="Bild 1" descr="C:\Users\marie-lena\Desktop\nonam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lena\Desktop\noname01.png"/>
                    <pic:cNvPicPr>
                      <a:picLocks noChangeAspect="1" noChangeArrowheads="1"/>
                    </pic:cNvPicPr>
                  </pic:nvPicPr>
                  <pic:blipFill>
                    <a:blip r:embed="rId16" cstate="print">
                      <a:lum contrast="40000"/>
                    </a:blip>
                    <a:srcRect/>
                    <a:stretch>
                      <a:fillRect/>
                    </a:stretch>
                  </pic:blipFill>
                  <pic:spPr bwMode="auto">
                    <a:xfrm>
                      <a:off x="0" y="0"/>
                      <a:ext cx="877570" cy="775970"/>
                    </a:xfrm>
                    <a:prstGeom prst="rect">
                      <a:avLst/>
                    </a:prstGeom>
                    <a:noFill/>
                    <a:ln w="9525">
                      <a:noFill/>
                      <a:miter lim="800000"/>
                      <a:headEnd/>
                      <a:tailEnd/>
                    </a:ln>
                  </pic:spPr>
                </pic:pic>
              </a:graphicData>
            </a:graphic>
          </wp:anchor>
        </w:drawing>
      </w:r>
    </w:p>
    <w:p w:rsidR="00C21709" w:rsidRDefault="00C21709" w:rsidP="00C21709">
      <w:pPr>
        <w:tabs>
          <w:tab w:val="left" w:pos="1701"/>
          <w:tab w:val="left" w:pos="1985"/>
        </w:tabs>
        <w:ind w:left="1985" w:hanging="1985"/>
      </w:pPr>
      <w:r>
        <w:rPr>
          <w:noProof/>
          <w:lang w:eastAsia="de-DE"/>
        </w:rPr>
        <w:pict>
          <v:shape id="_x0000_s1031" type="#_x0000_t202" style="position:absolute;left:0;text-align:left;margin-left:276.05pt;margin-top:2.9pt;width:48.2pt;height:16.9pt;z-index:251667456" stroked="f">
            <v:textbox>
              <w:txbxContent>
                <w:p w:rsidR="00C21709" w:rsidRPr="006E1797" w:rsidRDefault="00C21709" w:rsidP="00C21709">
                  <w:pPr>
                    <w:rPr>
                      <w:sz w:val="18"/>
                      <w:szCs w:val="18"/>
                    </w:rPr>
                  </w:pPr>
                  <w:r w:rsidRPr="006E1797">
                    <w:rPr>
                      <w:sz w:val="18"/>
                      <w:szCs w:val="18"/>
                    </w:rPr>
                    <w:t>+I-Effekt</w:t>
                  </w:r>
                </w:p>
              </w:txbxContent>
            </v:textbox>
          </v:shape>
        </w:pict>
      </w:r>
      <w:r>
        <w:rPr>
          <w:noProof/>
          <w:lang w:eastAsia="de-DE"/>
        </w:rPr>
        <w:pict>
          <v:shapetype id="_x0000_t32" coordsize="21600,21600" o:spt="32" o:oned="t" path="m,l21600,21600e" filled="f">
            <v:path arrowok="t" fillok="f" o:connecttype="none"/>
            <o:lock v:ext="edit" shapetype="t"/>
          </v:shapetype>
          <v:shape id="_x0000_s1030" type="#_x0000_t32" style="position:absolute;left:0;text-align:left;margin-left:303.8pt;margin-top:19.8pt;width:18.35pt;height:10.2pt;flip:y;z-index:251666432" o:connectortype="straight">
            <v:stroke endarrow="block"/>
          </v:shape>
        </w:pict>
      </w:r>
    </w:p>
    <w:p w:rsidR="00C21709" w:rsidRDefault="00C21709" w:rsidP="00C21709">
      <w:pPr>
        <w:tabs>
          <w:tab w:val="left" w:pos="1701"/>
          <w:tab w:val="left" w:pos="1985"/>
        </w:tabs>
        <w:ind w:left="1985" w:hanging="1985"/>
      </w:pPr>
      <w:r>
        <w:rPr>
          <w:noProof/>
          <w:lang w:eastAsia="de-DE"/>
        </w:rPr>
        <w:pict>
          <v:shape id="_x0000_s1029" type="#_x0000_t202" style="position:absolute;left:0;text-align:left;margin-left:99.65pt;margin-top:22.5pt;width:356.6pt;height:35.35pt;z-index:251665408" stroked="f">
            <v:textbox>
              <w:txbxContent>
                <w:p w:rsidR="00C21709" w:rsidRPr="00357530" w:rsidRDefault="00C21709" w:rsidP="00C21709">
                  <w:pPr>
                    <w:rPr>
                      <w:sz w:val="20"/>
                      <w:szCs w:val="20"/>
                    </w:rPr>
                  </w:pPr>
                  <w:r w:rsidRPr="00357530">
                    <w:rPr>
                      <w:sz w:val="20"/>
                      <w:szCs w:val="20"/>
                    </w:rPr>
                    <w:t>Abbildung 4: Strukturformel der Ameisensäure ohne positiven induktiven Effekt (links), Essigsäure mit positivem induktiven Effekt</w:t>
                  </w:r>
                  <w:r>
                    <w:rPr>
                      <w:sz w:val="20"/>
                      <w:szCs w:val="20"/>
                    </w:rPr>
                    <w:t xml:space="preserve"> (rechts)</w:t>
                  </w:r>
                  <w:r w:rsidRPr="00357530">
                    <w:rPr>
                      <w:sz w:val="20"/>
                      <w:szCs w:val="20"/>
                    </w:rPr>
                    <w:t>.</w:t>
                  </w:r>
                </w:p>
              </w:txbxContent>
            </v:textbox>
          </v:shape>
        </w:pict>
      </w:r>
      <w:r>
        <w:tab/>
      </w:r>
      <w:r>
        <w:tab/>
      </w:r>
    </w:p>
    <w:p w:rsidR="00C21709" w:rsidRDefault="00C21709" w:rsidP="00C21709">
      <w:pPr>
        <w:tabs>
          <w:tab w:val="left" w:pos="1701"/>
          <w:tab w:val="left" w:pos="1985"/>
        </w:tabs>
        <w:ind w:left="1985" w:hanging="1985"/>
      </w:pPr>
    </w:p>
    <w:p w:rsidR="00C21709" w:rsidRDefault="00C21709" w:rsidP="00C21709">
      <w:pPr>
        <w:tabs>
          <w:tab w:val="left" w:pos="1701"/>
          <w:tab w:val="left" w:pos="1985"/>
        </w:tabs>
        <w:ind w:left="1985" w:hanging="1985"/>
      </w:pPr>
      <w:r>
        <w:tab/>
      </w:r>
      <w:r>
        <w:tab/>
      </w:r>
    </w:p>
    <w:p w:rsidR="00C21709" w:rsidRDefault="00C21709" w:rsidP="00C21709">
      <w:pPr>
        <w:tabs>
          <w:tab w:val="left" w:pos="1701"/>
          <w:tab w:val="left" w:pos="1985"/>
        </w:tabs>
        <w:ind w:left="1985" w:hanging="1985"/>
      </w:pPr>
      <w:r>
        <w:tab/>
      </w:r>
      <w:r>
        <w:tab/>
        <w:t>b) Die Säuren reagieren mit dem Magnesium unter Freisetzung von Wasserstoff. Die Unterschiede in der Heftigkeit der Reaktion (Gasentwicklung) ist wie in a) beschrieben von der Säurestärke abhängig. Die Reaktionsgleichung zeigt beispielhaft die Reaktion von Essigsäure mit Magnesium:</w:t>
      </w:r>
    </w:p>
    <w:p w:rsidR="00C21709" w:rsidRPr="00980F97" w:rsidRDefault="00C21709" w:rsidP="00C21709">
      <w:pPr>
        <w:tabs>
          <w:tab w:val="left" w:pos="1701"/>
          <w:tab w:val="left" w:pos="1985"/>
        </w:tabs>
        <w:ind w:left="1985" w:hanging="1985"/>
        <w:rPr>
          <w:lang w:val="en-US"/>
        </w:rPr>
      </w:pPr>
      <w:r>
        <w:tab/>
      </w:r>
      <w:r>
        <w:tab/>
      </w:r>
      <w:r>
        <w:tab/>
      </w:r>
      <w:r>
        <w:tab/>
      </w:r>
      <w:r>
        <w:rPr>
          <w:lang w:val="en-US"/>
        </w:rPr>
        <w:t xml:space="preserve">2 </w:t>
      </w:r>
      <w:r w:rsidRPr="00980F97">
        <w:rPr>
          <w:lang w:val="en-US"/>
        </w:rPr>
        <w:t>CH</w:t>
      </w:r>
      <w:r w:rsidRPr="00980F97">
        <w:rPr>
          <w:vertAlign w:val="subscript"/>
          <w:lang w:val="en-US"/>
        </w:rPr>
        <w:t>3</w:t>
      </w:r>
      <w:r w:rsidRPr="00980F97">
        <w:rPr>
          <w:lang w:val="en-US"/>
        </w:rPr>
        <w:t xml:space="preserve">COOH </w:t>
      </w:r>
      <w:r w:rsidRPr="00980F97">
        <w:rPr>
          <w:vertAlign w:val="subscript"/>
          <w:lang w:val="en-US"/>
        </w:rPr>
        <w:t>(</w:t>
      </w:r>
      <w:proofErr w:type="spellStart"/>
      <w:r w:rsidRPr="00980F97">
        <w:rPr>
          <w:vertAlign w:val="subscript"/>
          <w:lang w:val="en-US"/>
        </w:rPr>
        <w:t>aq</w:t>
      </w:r>
      <w:proofErr w:type="spellEnd"/>
      <w:r w:rsidRPr="00980F97">
        <w:rPr>
          <w:vertAlign w:val="subscript"/>
          <w:lang w:val="en-US"/>
        </w:rPr>
        <w:t>)</w:t>
      </w:r>
      <w:r w:rsidRPr="00980F97">
        <w:rPr>
          <w:lang w:val="en-US"/>
        </w:rPr>
        <w:t xml:space="preserve"> + Mg </w:t>
      </w:r>
      <w:r w:rsidRPr="00980F97">
        <w:rPr>
          <w:vertAlign w:val="subscript"/>
          <w:lang w:val="en-US"/>
        </w:rPr>
        <w:t>(s)</w:t>
      </w:r>
      <w:r w:rsidRPr="00980F97">
        <w:rPr>
          <w:lang w:val="en-US"/>
        </w:rPr>
        <w:t xml:space="preserve"> </w:t>
      </w:r>
      <w:r>
        <w:sym w:font="Wingdings" w:char="F0E0"/>
      </w:r>
      <w:r w:rsidRPr="00980F97">
        <w:rPr>
          <w:lang w:val="en-US"/>
        </w:rPr>
        <w:t xml:space="preserve"> Mg</w:t>
      </w:r>
      <w:r w:rsidRPr="00980F97">
        <w:rPr>
          <w:vertAlign w:val="superscript"/>
          <w:lang w:val="en-US"/>
        </w:rPr>
        <w:t>2+</w:t>
      </w:r>
      <w:r w:rsidRPr="00980F97">
        <w:rPr>
          <w:lang w:val="en-US"/>
        </w:rPr>
        <w:t xml:space="preserve"> </w:t>
      </w:r>
      <w:r w:rsidRPr="00980F97">
        <w:rPr>
          <w:vertAlign w:val="subscript"/>
          <w:lang w:val="en-US"/>
        </w:rPr>
        <w:t>(</w:t>
      </w:r>
      <w:proofErr w:type="spellStart"/>
      <w:r w:rsidRPr="00980F97">
        <w:rPr>
          <w:vertAlign w:val="subscript"/>
          <w:lang w:val="en-US"/>
        </w:rPr>
        <w:t>aq</w:t>
      </w:r>
      <w:proofErr w:type="spellEnd"/>
      <w:r w:rsidRPr="00980F97">
        <w:rPr>
          <w:vertAlign w:val="subscript"/>
          <w:lang w:val="en-US"/>
        </w:rPr>
        <w:t>)</w:t>
      </w:r>
      <w:r>
        <w:rPr>
          <w:lang w:val="en-US"/>
        </w:rPr>
        <w:t xml:space="preserve"> + H</w:t>
      </w:r>
      <w:r w:rsidRPr="00980F97">
        <w:rPr>
          <w:vertAlign w:val="subscript"/>
          <w:lang w:val="en-US"/>
        </w:rPr>
        <w:t>2</w:t>
      </w:r>
      <w:r>
        <w:rPr>
          <w:lang w:val="en-US"/>
        </w:rPr>
        <w:t xml:space="preserve"> </w:t>
      </w:r>
      <w:r w:rsidRPr="00980F97">
        <w:rPr>
          <w:vertAlign w:val="subscript"/>
          <w:lang w:val="en-US"/>
        </w:rPr>
        <w:t>(g)</w:t>
      </w:r>
      <w:r>
        <w:rPr>
          <w:lang w:val="en-US"/>
        </w:rPr>
        <w:t xml:space="preserve"> + 2 CH</w:t>
      </w:r>
      <w:r w:rsidRPr="00980F97">
        <w:rPr>
          <w:vertAlign w:val="subscript"/>
          <w:lang w:val="en-US"/>
        </w:rPr>
        <w:t>3</w:t>
      </w:r>
      <w:r>
        <w:rPr>
          <w:lang w:val="en-US"/>
        </w:rPr>
        <w:t>COO</w:t>
      </w:r>
      <w:r w:rsidRPr="00980F97">
        <w:rPr>
          <w:vertAlign w:val="superscript"/>
          <w:lang w:val="en-US"/>
        </w:rPr>
        <w:t xml:space="preserve">- </w:t>
      </w:r>
      <w:r w:rsidRPr="00980F97">
        <w:rPr>
          <w:vertAlign w:val="subscript"/>
          <w:lang w:val="en-US"/>
        </w:rPr>
        <w:t>(</w:t>
      </w:r>
      <w:proofErr w:type="spellStart"/>
      <w:r w:rsidRPr="00980F97">
        <w:rPr>
          <w:vertAlign w:val="subscript"/>
          <w:lang w:val="en-US"/>
        </w:rPr>
        <w:t>aq</w:t>
      </w:r>
      <w:proofErr w:type="spellEnd"/>
      <w:r w:rsidRPr="00980F97">
        <w:rPr>
          <w:vertAlign w:val="subscript"/>
          <w:lang w:val="en-US"/>
        </w:rPr>
        <w:t>)</w:t>
      </w:r>
    </w:p>
    <w:p w:rsidR="00C21709" w:rsidRDefault="00C21709" w:rsidP="00C21709">
      <w:pPr>
        <w:tabs>
          <w:tab w:val="left" w:pos="1701"/>
          <w:tab w:val="left" w:pos="1985"/>
        </w:tabs>
        <w:ind w:left="1980" w:hanging="1980"/>
      </w:pPr>
      <w:r>
        <w:t xml:space="preserve">Entsorgung:         </w:t>
      </w:r>
      <w:r>
        <w:tab/>
      </w:r>
      <w:r>
        <w:tab/>
        <w:t xml:space="preserve"> Die Säuren werden über den Säure-Base Abfall entsorgt.</w:t>
      </w:r>
    </w:p>
    <w:p w:rsidR="00394050" w:rsidRPr="00C21709" w:rsidRDefault="00C21709" w:rsidP="00C21709">
      <w:pPr>
        <w:tabs>
          <w:tab w:val="left" w:pos="1985"/>
        </w:tabs>
        <w:autoSpaceDE w:val="0"/>
        <w:autoSpaceDN w:val="0"/>
        <w:adjustRightInd w:val="0"/>
        <w:spacing w:after="0"/>
        <w:ind w:left="1980" w:hanging="1980"/>
        <w:jc w:val="left"/>
      </w:pPr>
      <w:r w:rsidRPr="007375CD">
        <w:rPr>
          <w:noProof/>
          <w:lang w:eastAsia="de-DE"/>
        </w:rPr>
        <w:pict>
          <v:shape id="_x0000_s1026" type="#_x0000_t202" style="position:absolute;left:0;text-align:left;margin-left:3.25pt;margin-top:44pt;width:462.45pt;height:65.65pt;z-index:-251656192;visibility:visible" wrapcoords="-35 -129 -35 21471 21635 21471 21635 -129 -35 -129" fillcolor="white [3201]" strokecolor="#c0504d [3205]" strokeweight="1pt">
            <v:stroke dashstyle="dash"/>
            <v:shadow color="#868686"/>
            <v:textbox style="mso-next-textbox:#_x0000_s1026">
              <w:txbxContent>
                <w:p w:rsidR="00C21709" w:rsidRPr="00792071" w:rsidRDefault="00C21709" w:rsidP="00C21709">
                  <w:pPr>
                    <w:rPr>
                      <w:color w:val="auto"/>
                    </w:rPr>
                  </w:pPr>
                  <w:r>
                    <w:rPr>
                      <w:color w:val="auto"/>
                    </w:rPr>
                    <w:t xml:space="preserve">Ein eindeutigeres Ergebnis wird im Durchführungsteil b) erhalten, wenn konzentrierte Säuren verwendet werden. Dieser Versuch sollte deswegen von der Lehrkraft durchgeführt werden. Es kann zu einer starken Geruchsbelästigung kommen. </w:t>
                  </w:r>
                </w:p>
              </w:txbxContent>
            </v:textbox>
            <w10:wrap type="tight"/>
          </v:shape>
        </w:pict>
      </w:r>
      <w:r>
        <w:t>Literatur:</w:t>
      </w:r>
      <w:r>
        <w:tab/>
      </w:r>
      <w:r>
        <w:tab/>
        <w:t xml:space="preserve">In Anlehnung an: Dr. K. </w:t>
      </w:r>
      <w:proofErr w:type="spellStart"/>
      <w:r>
        <w:t>Anscheit</w:t>
      </w:r>
      <w:proofErr w:type="spellEnd"/>
      <w:r>
        <w:t xml:space="preserve">, </w:t>
      </w:r>
      <w:r w:rsidRPr="00B86EBF">
        <w:rPr>
          <w:i/>
        </w:rPr>
        <w:t>Chemie fürs Leben – Bier,</w:t>
      </w:r>
      <w:r>
        <w:rPr>
          <w:i/>
        </w:rPr>
        <w:t xml:space="preserve"> </w:t>
      </w:r>
      <w:r w:rsidRPr="00B86EBF">
        <w:rPr>
          <w:i/>
        </w:rPr>
        <w:t>Baby-Öl und Essig-Essenz</w:t>
      </w:r>
      <w:r>
        <w:t>, Universität Rostock, Juli2014, S.220.</w:t>
      </w:r>
    </w:p>
    <w:sectPr w:rsidR="00394050" w:rsidRPr="00C21709" w:rsidSect="0039405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233E8E0C"/>
    <w:lvl w:ilvl="0">
      <w:start w:val="1"/>
      <w:numFmt w:val="decimal"/>
      <w:pStyle w:val="berschrift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berschrift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hyphenationZone w:val="425"/>
  <w:characterSpacingControl w:val="doNotCompress"/>
  <w:compat/>
  <w:rsids>
    <w:rsidRoot w:val="00C21709"/>
    <w:rsid w:val="000D0D64"/>
    <w:rsid w:val="00394050"/>
    <w:rsid w:val="00503F1E"/>
    <w:rsid w:val="00604884"/>
    <w:rsid w:val="008E327E"/>
    <w:rsid w:val="00AF14F4"/>
    <w:rsid w:val="00C21709"/>
    <w:rsid w:val="00ED005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1709"/>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C21709"/>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C21709"/>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C21709"/>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C21709"/>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C21709"/>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C21709"/>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C21709"/>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C21709"/>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C21709"/>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1709"/>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C21709"/>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C21709"/>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C21709"/>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C21709"/>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C21709"/>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C21709"/>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C21709"/>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C21709"/>
    <w:rPr>
      <w:rFonts w:ascii="Cambria" w:eastAsia="Times New Roman" w:hAnsi="Cambria" w:cs="Times New Roman"/>
      <w:i/>
      <w:iCs/>
      <w:color w:val="404040"/>
      <w:sz w:val="20"/>
      <w:szCs w:val="20"/>
    </w:rPr>
  </w:style>
  <w:style w:type="paragraph" w:styleId="Sprechblasentext">
    <w:name w:val="Balloon Text"/>
    <w:basedOn w:val="Standard"/>
    <w:link w:val="SprechblasentextZchn"/>
    <w:uiPriority w:val="99"/>
    <w:semiHidden/>
    <w:unhideWhenUsed/>
    <w:rsid w:val="00C217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1709"/>
    <w:rPr>
      <w:rFonts w:ascii="Tahoma" w:eastAsia="Calibri" w:hAnsi="Tahoma" w:cs="Tahoma"/>
      <w:color w:val="1D1B1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2181</Characters>
  <Application>Microsoft Office Word</Application>
  <DocSecurity>0</DocSecurity>
  <Lines>18</Lines>
  <Paragraphs>5</Paragraphs>
  <ScaleCrop>false</ScaleCrop>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marie-lena</dc:creator>
  <cp:lastModifiedBy>marie-lena</cp:lastModifiedBy>
  <cp:revision>1</cp:revision>
  <dcterms:created xsi:type="dcterms:W3CDTF">2015-08-22T08:23:00Z</dcterms:created>
  <dcterms:modified xsi:type="dcterms:W3CDTF">2015-08-22T08:25:00Z</dcterms:modified>
</cp:coreProperties>
</file>