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7665" w14:textId="58F704B4"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7B5A20F8" w:rsidR="00954DC8" w:rsidRDefault="00F20102" w:rsidP="00F31EBF">
      <w:pPr>
        <w:spacing w:line="276" w:lineRule="auto"/>
      </w:pPr>
      <w:r>
        <w:t>Isabel Großhennig</w:t>
      </w:r>
    </w:p>
    <w:p w14:paraId="74198D98" w14:textId="0DB27E52" w:rsidR="00954DC8" w:rsidRDefault="001C076E" w:rsidP="00F31EBF">
      <w:pPr>
        <w:spacing w:line="276" w:lineRule="auto"/>
      </w:pPr>
      <w:r>
        <w:t>Sommersemester 2015</w:t>
      </w:r>
    </w:p>
    <w:p w14:paraId="1359FCC1" w14:textId="2CE9590F" w:rsidR="00954DC8" w:rsidRDefault="00B20FD0" w:rsidP="00F31EBF">
      <w:pPr>
        <w:spacing w:line="276" w:lineRule="auto"/>
      </w:pPr>
      <w:r>
        <w:t>Klassenstufen 11 &amp; 12</w:t>
      </w:r>
    </w:p>
    <w:p w14:paraId="2EE2BA89" w14:textId="3114F35D" w:rsidR="008C34B3" w:rsidRDefault="00F6379C" w:rsidP="00954DC8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821056" behindDoc="0" locked="0" layoutInCell="1" allowOverlap="1" wp14:anchorId="2E2F0C6C" wp14:editId="1CBE46CA">
            <wp:simplePos x="0" y="0"/>
            <wp:positionH relativeFrom="margin">
              <wp:posOffset>1101725</wp:posOffset>
            </wp:positionH>
            <wp:positionV relativeFrom="margin">
              <wp:posOffset>1710055</wp:posOffset>
            </wp:positionV>
            <wp:extent cx="1476375" cy="4575810"/>
            <wp:effectExtent l="438150" t="171450" r="447675" b="224790"/>
            <wp:wrapSquare wrapText="bothSides"/>
            <wp:docPr id="15" name="Grafik 15" descr="C:\Users\Isabel\Studium\master\2. Semester\SVP chemie\11 12\foto\20150812_11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bel\Studium\master\2. Semester\SVP chemie\11 12\foto\20150812_1108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21126488">
                      <a:off x="0" y="0"/>
                      <a:ext cx="1476375" cy="45758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ADC28" w14:textId="71F07712" w:rsidR="008C34B3" w:rsidRDefault="008C34B3" w:rsidP="00954DC8">
      <w:pPr>
        <w:rPr>
          <w:noProof/>
          <w:lang w:eastAsia="de-DE"/>
        </w:rPr>
      </w:pPr>
    </w:p>
    <w:p w14:paraId="607CC1D2" w14:textId="1B943DE8" w:rsidR="008C34B3" w:rsidRDefault="00F6379C" w:rsidP="00954DC8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822080" behindDoc="0" locked="0" layoutInCell="1" allowOverlap="1" wp14:anchorId="40947AF8" wp14:editId="241CF187">
            <wp:simplePos x="0" y="0"/>
            <wp:positionH relativeFrom="margin">
              <wp:posOffset>3030220</wp:posOffset>
            </wp:positionH>
            <wp:positionV relativeFrom="margin">
              <wp:posOffset>2278380</wp:posOffset>
            </wp:positionV>
            <wp:extent cx="2284730" cy="2978150"/>
            <wp:effectExtent l="323850" t="228600" r="325120" b="279400"/>
            <wp:wrapSquare wrapText="bothSides"/>
            <wp:docPr id="16" name="Grafik 16" descr="C:\Users\Isabel\Studium\master\2. Semester\SVP chemie\11 12\foto\20150811_13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sabel\Studium\master\2. Semester\SVP chemie\11 12\foto\20150811_1339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448231">
                      <a:off x="0" y="0"/>
                      <a:ext cx="2284730" cy="2978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48695" w14:textId="11056C11" w:rsidR="008C34B3" w:rsidRDefault="008C34B3" w:rsidP="00954DC8">
      <w:pPr>
        <w:rPr>
          <w:noProof/>
          <w:lang w:eastAsia="de-DE"/>
        </w:rPr>
      </w:pPr>
    </w:p>
    <w:p w14:paraId="6D4BCE2E" w14:textId="4577AF7E" w:rsidR="008C34B3" w:rsidRDefault="008C34B3" w:rsidP="00954DC8">
      <w:pPr>
        <w:rPr>
          <w:noProof/>
          <w:lang w:eastAsia="de-DE"/>
        </w:rPr>
      </w:pPr>
    </w:p>
    <w:p w14:paraId="00327494" w14:textId="694E1A08" w:rsidR="00826E3A" w:rsidRDefault="00826E3A" w:rsidP="00954DC8">
      <w:pPr>
        <w:rPr>
          <w:noProof/>
          <w:lang w:eastAsia="de-DE"/>
        </w:rPr>
      </w:pPr>
    </w:p>
    <w:p w14:paraId="7449814A" w14:textId="077A2FD3" w:rsidR="00AF15B3" w:rsidRDefault="00AF15B3" w:rsidP="00954DC8">
      <w:pPr>
        <w:rPr>
          <w:noProof/>
          <w:lang w:eastAsia="de-DE"/>
        </w:rPr>
      </w:pPr>
    </w:p>
    <w:p w14:paraId="42F1F2A9" w14:textId="1F75165A" w:rsidR="00AF15B3" w:rsidRDefault="00AF15B3" w:rsidP="00954DC8">
      <w:pPr>
        <w:rPr>
          <w:noProof/>
          <w:lang w:eastAsia="de-DE"/>
        </w:rPr>
      </w:pPr>
    </w:p>
    <w:p w14:paraId="56F7241F" w14:textId="77777777" w:rsidR="00AF15B3" w:rsidRDefault="00AF15B3" w:rsidP="00954DC8">
      <w:pPr>
        <w:rPr>
          <w:noProof/>
          <w:lang w:eastAsia="de-DE"/>
        </w:rPr>
      </w:pPr>
    </w:p>
    <w:p w14:paraId="62319439" w14:textId="77777777" w:rsidR="00AF15B3" w:rsidRDefault="00AF15B3" w:rsidP="00954DC8">
      <w:pPr>
        <w:rPr>
          <w:noProof/>
          <w:lang w:eastAsia="de-DE"/>
        </w:rPr>
      </w:pPr>
    </w:p>
    <w:p w14:paraId="23103C2E" w14:textId="77777777" w:rsidR="00AF15B3" w:rsidRDefault="00AF15B3" w:rsidP="00954DC8">
      <w:pPr>
        <w:rPr>
          <w:noProof/>
          <w:lang w:eastAsia="de-DE"/>
        </w:rPr>
      </w:pPr>
    </w:p>
    <w:p w14:paraId="40E172A6" w14:textId="77777777" w:rsidR="00AF15B3" w:rsidRDefault="00AF15B3" w:rsidP="00954DC8">
      <w:pPr>
        <w:rPr>
          <w:noProof/>
          <w:lang w:eastAsia="de-DE"/>
        </w:rPr>
      </w:pPr>
    </w:p>
    <w:p w14:paraId="100F3B56" w14:textId="77777777" w:rsidR="00F6379C" w:rsidRDefault="00F6379C" w:rsidP="008B7FD6">
      <w:pPr>
        <w:rPr>
          <w:rFonts w:ascii="Times New Roman" w:hAnsi="Times New Roman" w:cs="Times New Roman"/>
          <w:sz w:val="52"/>
          <w:szCs w:val="24"/>
        </w:rPr>
      </w:pPr>
    </w:p>
    <w:p w14:paraId="484F41F0" w14:textId="72D27A25" w:rsidR="008B7FD6" w:rsidRDefault="002F2A14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 w14:anchorId="6C1F7AA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;mso-position-horizontal-relative:text;mso-position-vertical-relative:text" o:connectortype="straight"/>
        </w:pict>
      </w:r>
    </w:p>
    <w:p w14:paraId="08755CFA" w14:textId="515171E2" w:rsidR="00C83763" w:rsidRPr="00C57110" w:rsidRDefault="00AF15B3" w:rsidP="00C83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40"/>
        </w:rPr>
      </w:pPr>
      <w:r>
        <w:rPr>
          <w:rFonts w:ascii="Times New Roman" w:hAnsi="Times New Roman" w:cs="Times New Roman"/>
          <w:b/>
          <w:sz w:val="48"/>
          <w:szCs w:val="40"/>
        </w:rPr>
        <w:t>Farbstoffe</w:t>
      </w:r>
    </w:p>
    <w:p w14:paraId="145BC997" w14:textId="56B89D00" w:rsidR="00984EF9" w:rsidRDefault="002F2A14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0"/>
          <w:szCs w:val="44"/>
        </w:rPr>
      </w:pPr>
      <w:r>
        <w:rPr>
          <w:rFonts w:asciiTheme="majorHAnsi" w:hAnsiTheme="majorHAnsi" w:cs="Times New Roman"/>
          <w:b/>
          <w:noProof/>
          <w:sz w:val="40"/>
          <w:szCs w:val="44"/>
          <w:lang w:eastAsia="de-DE"/>
        </w:rPr>
        <w:pict w14:anchorId="0EB21FF5"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2F22C7">
        <w:rPr>
          <w:rFonts w:asciiTheme="majorHAnsi" w:hAnsiTheme="majorHAnsi" w:cs="Times New Roman"/>
          <w:b/>
          <w:sz w:val="40"/>
          <w:szCs w:val="44"/>
        </w:rPr>
        <w:t>Kurzprotokoll</w:t>
      </w:r>
    </w:p>
    <w:p w14:paraId="640E0C96" w14:textId="77777777" w:rsidR="00F6379C" w:rsidRDefault="00F6379C" w:rsidP="00A90BD6"/>
    <w:p w14:paraId="0A05C038" w14:textId="77777777" w:rsidR="00F6379C" w:rsidRDefault="00F6379C" w:rsidP="00A90BD6"/>
    <w:p w14:paraId="30CA9370" w14:textId="29B0753E" w:rsidR="0033623B" w:rsidRDefault="002F2A14" w:rsidP="00A90BD6">
      <w:r>
        <w:rPr>
          <w:noProof/>
        </w:rPr>
        <w:lastRenderedPageBreak/>
        <w:pict w14:anchorId="6280BD10"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left:0;text-align:left;margin-left:-7.75pt;margin-top:19.75pt;width:469.2pt;height:114.15pt;z-index:251782144;mso-width-relative:margin;mso-height-relative:margin" fillcolor="white [3201]" strokecolor="#9bbb59 [3206]" strokeweight="1pt">
            <v:stroke dashstyle="dash"/>
            <v:shadow color="#868686"/>
            <v:textbox style="mso-next-textbox:#_x0000_s1145">
              <w:txbxContent>
                <w:p w14:paraId="33E42AE4" w14:textId="77777777" w:rsidR="00D22043" w:rsidRDefault="00D22043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14:paraId="534E28FF" w14:textId="71331270" w:rsidR="00D22043" w:rsidRPr="00AF15B3" w:rsidRDefault="00D22043" w:rsidP="004944F3">
                  <w:pPr>
                    <w:rPr>
                      <w:rFonts w:asciiTheme="majorHAnsi" w:hAnsiTheme="majorHAnsi"/>
                      <w:color w:val="FF0000"/>
                    </w:rPr>
                  </w:pPr>
                  <w:r w:rsidRPr="00852FDF">
                    <w:rPr>
                      <w:rFonts w:asciiTheme="majorHAnsi" w:hAnsiTheme="majorHAnsi"/>
                      <w:color w:val="auto"/>
                    </w:rPr>
                    <w:t>Dieses Kurzp</w:t>
                  </w:r>
                  <w:r w:rsidR="00A11502" w:rsidRPr="00852FDF">
                    <w:rPr>
                      <w:rFonts w:asciiTheme="majorHAnsi" w:hAnsiTheme="majorHAnsi"/>
                      <w:color w:val="auto"/>
                    </w:rPr>
                    <w:t xml:space="preserve">rotokoll für die </w:t>
                  </w:r>
                  <w:r w:rsidR="00A11502" w:rsidRPr="002A055E">
                    <w:rPr>
                      <w:rFonts w:asciiTheme="majorHAnsi" w:hAnsiTheme="majorHAnsi"/>
                      <w:b/>
                      <w:color w:val="auto"/>
                    </w:rPr>
                    <w:t>Klassenstufen 11 und 12</w:t>
                  </w:r>
                  <w:r w:rsidRPr="00852FDF">
                    <w:rPr>
                      <w:rFonts w:asciiTheme="majorHAnsi" w:hAnsiTheme="majorHAnsi"/>
                      <w:color w:val="auto"/>
                    </w:rPr>
                    <w:t xml:space="preserve"> zum Thema </w:t>
                  </w:r>
                  <w:r w:rsidRPr="00852FDF">
                    <w:rPr>
                      <w:rFonts w:asciiTheme="majorHAnsi" w:hAnsiTheme="majorHAnsi"/>
                      <w:b/>
                      <w:color w:val="auto"/>
                    </w:rPr>
                    <w:t>„</w:t>
                  </w:r>
                  <w:r w:rsidR="00852FDF" w:rsidRPr="00852FDF">
                    <w:rPr>
                      <w:rFonts w:asciiTheme="majorHAnsi" w:hAnsiTheme="majorHAnsi"/>
                      <w:b/>
                      <w:color w:val="auto"/>
                    </w:rPr>
                    <w:t>Farbstoffe</w:t>
                  </w:r>
                  <w:r w:rsidRPr="00852FDF">
                    <w:rPr>
                      <w:rFonts w:asciiTheme="majorHAnsi" w:hAnsiTheme="majorHAnsi"/>
                      <w:b/>
                      <w:color w:val="auto"/>
                    </w:rPr>
                    <w:t>“</w:t>
                  </w:r>
                  <w:r w:rsidRPr="00852FDF">
                    <w:rPr>
                      <w:rFonts w:asciiTheme="majorHAnsi" w:hAnsiTheme="majorHAnsi"/>
                      <w:color w:val="auto"/>
                    </w:rPr>
                    <w:t xml:space="preserve"> enthält </w:t>
                  </w:r>
                  <w:r w:rsidRPr="00852FDF">
                    <w:rPr>
                      <w:rFonts w:asciiTheme="majorHAnsi" w:hAnsiTheme="majorHAnsi"/>
                      <w:b/>
                      <w:color w:val="auto"/>
                    </w:rPr>
                    <w:t>einen Lehrerversuch</w:t>
                  </w:r>
                  <w:r w:rsidRPr="00852FDF">
                    <w:rPr>
                      <w:rFonts w:asciiTheme="majorHAnsi" w:hAnsiTheme="majorHAnsi"/>
                      <w:color w:val="auto"/>
                    </w:rPr>
                    <w:t xml:space="preserve"> und </w:t>
                  </w:r>
                  <w:r w:rsidR="00BC0AF0">
                    <w:rPr>
                      <w:rFonts w:asciiTheme="majorHAnsi" w:hAnsiTheme="majorHAnsi"/>
                      <w:b/>
                      <w:color w:val="auto"/>
                    </w:rPr>
                    <w:t>einen Schülerversuch</w:t>
                  </w:r>
                  <w:r w:rsidRPr="00852FDF">
                    <w:rPr>
                      <w:rFonts w:asciiTheme="majorHAnsi" w:hAnsiTheme="majorHAnsi"/>
                      <w:color w:val="auto"/>
                    </w:rPr>
                    <w:t>.</w:t>
                  </w:r>
                  <w:r w:rsidRPr="00AF15B3">
                    <w:rPr>
                      <w:rFonts w:asciiTheme="majorHAnsi" w:hAnsiTheme="majorHAnsi"/>
                      <w:color w:val="FF0000"/>
                    </w:rPr>
                    <w:t xml:space="preserve"> </w:t>
                  </w:r>
                  <w:r w:rsidRPr="0040589E">
                    <w:rPr>
                      <w:rFonts w:asciiTheme="majorHAnsi" w:hAnsiTheme="majorHAnsi"/>
                      <w:color w:val="auto"/>
                    </w:rPr>
                    <w:t xml:space="preserve">Der Lehrerversuch beschäftigt sich mit </w:t>
                  </w:r>
                  <w:r w:rsidR="00852FDF" w:rsidRPr="0040589E">
                    <w:rPr>
                      <w:rFonts w:asciiTheme="majorHAnsi" w:hAnsiTheme="majorHAnsi"/>
                      <w:color w:val="auto"/>
                    </w:rPr>
                    <w:t xml:space="preserve">der </w:t>
                  </w:r>
                  <w:proofErr w:type="spellStart"/>
                  <w:r w:rsidR="00EE1296">
                    <w:rPr>
                      <w:rFonts w:asciiTheme="majorHAnsi" w:hAnsiTheme="majorHAnsi"/>
                      <w:color w:val="auto"/>
                    </w:rPr>
                    <w:t>hy</w:t>
                  </w:r>
                  <w:r w:rsidR="00EE1296">
                    <w:rPr>
                      <w:rFonts w:asciiTheme="majorHAnsi" w:hAnsiTheme="majorHAnsi"/>
                      <w:color w:val="auto"/>
                    </w:rPr>
                    <w:t>p</w:t>
                  </w:r>
                  <w:r w:rsidR="00EE1296">
                    <w:rPr>
                      <w:rFonts w:asciiTheme="majorHAnsi" w:hAnsiTheme="majorHAnsi"/>
                      <w:color w:val="auto"/>
                    </w:rPr>
                    <w:t>sochromen</w:t>
                  </w:r>
                  <w:proofErr w:type="spellEnd"/>
                  <w:r w:rsidR="00852FDF" w:rsidRPr="0040589E">
                    <w:rPr>
                      <w:rFonts w:asciiTheme="majorHAnsi" w:hAnsiTheme="majorHAnsi"/>
                      <w:color w:val="auto"/>
                    </w:rPr>
                    <w:t xml:space="preserve"> Verschiebung bei der Reaktion von </w:t>
                  </w:r>
                  <w:proofErr w:type="spellStart"/>
                  <w:r w:rsidR="00852FDF" w:rsidRPr="0040589E">
                    <w:rPr>
                      <w:rFonts w:asciiTheme="majorHAnsi" w:hAnsiTheme="majorHAnsi"/>
                      <w:color w:val="auto"/>
                    </w:rPr>
                    <w:t>Lycopin</w:t>
                  </w:r>
                  <w:proofErr w:type="spellEnd"/>
                  <w:r w:rsidR="00852FDF" w:rsidRPr="0040589E">
                    <w:rPr>
                      <w:rFonts w:asciiTheme="majorHAnsi" w:hAnsiTheme="majorHAnsi"/>
                      <w:color w:val="auto"/>
                    </w:rPr>
                    <w:t xml:space="preserve"> mit Bromwasser. In dem Schülerversuch wird der </w:t>
                  </w:r>
                  <w:proofErr w:type="spellStart"/>
                  <w:r w:rsidR="001D0CFC">
                    <w:rPr>
                      <w:rFonts w:asciiTheme="majorHAnsi" w:hAnsiTheme="majorHAnsi"/>
                      <w:color w:val="auto"/>
                    </w:rPr>
                    <w:t>Xanthenfarbstoff</w:t>
                  </w:r>
                  <w:proofErr w:type="spellEnd"/>
                  <w:r w:rsidR="001D0CFC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 w:rsidR="00852FDF" w:rsidRPr="0040589E">
                    <w:rPr>
                      <w:rFonts w:asciiTheme="majorHAnsi" w:hAnsiTheme="majorHAnsi"/>
                      <w:color w:val="auto"/>
                    </w:rPr>
                    <w:t>Fluorescein hergestellt</w:t>
                  </w:r>
                  <w:r w:rsidR="001A3570">
                    <w:rPr>
                      <w:rFonts w:asciiTheme="majorHAnsi" w:hAnsiTheme="majorHAnsi"/>
                      <w:color w:val="auto"/>
                    </w:rPr>
                    <w:t>.</w:t>
                  </w:r>
                  <w:r w:rsidR="00852FDF">
                    <w:rPr>
                      <w:rFonts w:asciiTheme="majorHAnsi" w:hAnsiTheme="majorHAnsi"/>
                      <w:color w:val="FF0000"/>
                    </w:rPr>
                    <w:t xml:space="preserve"> </w:t>
                  </w:r>
                </w:p>
              </w:txbxContent>
            </v:textbox>
          </v:shape>
        </w:pict>
      </w:r>
    </w:p>
    <w:p w14:paraId="718E897D" w14:textId="77777777" w:rsidR="00C57110" w:rsidRDefault="00C57110" w:rsidP="00A90BD6"/>
    <w:p w14:paraId="4D631D4B" w14:textId="77777777" w:rsidR="00A90BD6" w:rsidRDefault="00A90BD6" w:rsidP="00A90BD6"/>
    <w:p w14:paraId="6E67A361" w14:textId="77777777" w:rsidR="00A90BD6" w:rsidRDefault="00A90BD6" w:rsidP="00A90BD6"/>
    <w:p w14:paraId="18F3B7FA" w14:textId="77777777" w:rsidR="00A90BD6" w:rsidRDefault="00A90BD6" w:rsidP="00A90BD6"/>
    <w:p w14:paraId="13E9243E" w14:textId="77777777" w:rsidR="00DA3CA7" w:rsidRDefault="00DA3CA7" w:rsidP="00A90BD6"/>
    <w:p w14:paraId="45F90967" w14:textId="77777777" w:rsidR="001203DB" w:rsidRDefault="001203DB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51D3F43" w14:textId="77777777" w:rsidR="00BF7766" w:rsidRDefault="00BF7766">
          <w:pPr>
            <w:pStyle w:val="Inhaltsverzeichnisberschrift"/>
            <w:rPr>
              <w:rFonts w:ascii="Cambria" w:eastAsiaTheme="minorHAnsi" w:hAnsi="Cambria" w:cstheme="minorBidi"/>
              <w:b w:val="0"/>
              <w:bCs w:val="0"/>
              <w:color w:val="1D1B11" w:themeColor="background2" w:themeShade="1A"/>
              <w:sz w:val="22"/>
              <w:szCs w:val="22"/>
            </w:rPr>
          </w:pPr>
        </w:p>
        <w:p w14:paraId="58E5AF7C" w14:textId="5E10D351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E26180"/>
        <w:p w14:paraId="0AE45162" w14:textId="77777777" w:rsidR="00F6379C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7265635" w:history="1">
            <w:r w:rsidR="00F6379C" w:rsidRPr="004D433D">
              <w:rPr>
                <w:rStyle w:val="Hyperlink"/>
                <w:noProof/>
              </w:rPr>
              <w:t>1</w:t>
            </w:r>
            <w:r w:rsidR="00F6379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6379C" w:rsidRPr="004D433D">
              <w:rPr>
                <w:rStyle w:val="Hyperlink"/>
                <w:noProof/>
              </w:rPr>
              <w:t>Weitere Lehrerversuche</w:t>
            </w:r>
            <w:r w:rsidR="00F6379C">
              <w:rPr>
                <w:noProof/>
                <w:webHidden/>
              </w:rPr>
              <w:tab/>
            </w:r>
            <w:r w:rsidR="00F6379C">
              <w:rPr>
                <w:noProof/>
                <w:webHidden/>
              </w:rPr>
              <w:fldChar w:fldCharType="begin"/>
            </w:r>
            <w:r w:rsidR="00F6379C">
              <w:rPr>
                <w:noProof/>
                <w:webHidden/>
              </w:rPr>
              <w:instrText xml:space="preserve"> PAGEREF _Toc427265635 \h </w:instrText>
            </w:r>
            <w:r w:rsidR="00F6379C">
              <w:rPr>
                <w:noProof/>
                <w:webHidden/>
              </w:rPr>
            </w:r>
            <w:r w:rsidR="00F6379C">
              <w:rPr>
                <w:noProof/>
                <w:webHidden/>
              </w:rPr>
              <w:fldChar w:fldCharType="separate"/>
            </w:r>
            <w:r w:rsidR="00946FA3">
              <w:rPr>
                <w:noProof/>
                <w:webHidden/>
              </w:rPr>
              <w:t>1</w:t>
            </w:r>
            <w:r w:rsidR="00F6379C">
              <w:rPr>
                <w:noProof/>
                <w:webHidden/>
              </w:rPr>
              <w:fldChar w:fldCharType="end"/>
            </w:r>
          </w:hyperlink>
        </w:p>
        <w:p w14:paraId="7412E5CE" w14:textId="77777777" w:rsidR="00F6379C" w:rsidRDefault="002F2A14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265636" w:history="1">
            <w:r w:rsidR="00F6379C" w:rsidRPr="004D433D">
              <w:rPr>
                <w:rStyle w:val="Hyperlink"/>
                <w:noProof/>
              </w:rPr>
              <w:t>1.1</w:t>
            </w:r>
            <w:r w:rsidR="00F6379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6379C" w:rsidRPr="004D433D">
              <w:rPr>
                <w:rStyle w:val="Hyperlink"/>
                <w:noProof/>
              </w:rPr>
              <w:t>V1 – Der gelbe Tomatensaft</w:t>
            </w:r>
            <w:r w:rsidR="00F6379C">
              <w:rPr>
                <w:noProof/>
                <w:webHidden/>
              </w:rPr>
              <w:tab/>
            </w:r>
            <w:r w:rsidR="00F6379C">
              <w:rPr>
                <w:noProof/>
                <w:webHidden/>
              </w:rPr>
              <w:fldChar w:fldCharType="begin"/>
            </w:r>
            <w:r w:rsidR="00F6379C">
              <w:rPr>
                <w:noProof/>
                <w:webHidden/>
              </w:rPr>
              <w:instrText xml:space="preserve"> PAGEREF _Toc427265636 \h </w:instrText>
            </w:r>
            <w:r w:rsidR="00F6379C">
              <w:rPr>
                <w:noProof/>
                <w:webHidden/>
              </w:rPr>
            </w:r>
            <w:r w:rsidR="00F6379C">
              <w:rPr>
                <w:noProof/>
                <w:webHidden/>
              </w:rPr>
              <w:fldChar w:fldCharType="separate"/>
            </w:r>
            <w:r w:rsidR="00946FA3">
              <w:rPr>
                <w:noProof/>
                <w:webHidden/>
              </w:rPr>
              <w:t>1</w:t>
            </w:r>
            <w:r w:rsidR="00F6379C">
              <w:rPr>
                <w:noProof/>
                <w:webHidden/>
              </w:rPr>
              <w:fldChar w:fldCharType="end"/>
            </w:r>
          </w:hyperlink>
        </w:p>
        <w:p w14:paraId="1406FB70" w14:textId="77777777" w:rsidR="00F6379C" w:rsidRDefault="002F2A14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265637" w:history="1">
            <w:r w:rsidR="00F6379C" w:rsidRPr="004D433D">
              <w:rPr>
                <w:rStyle w:val="Hyperlink"/>
                <w:noProof/>
              </w:rPr>
              <w:t>2</w:t>
            </w:r>
            <w:r w:rsidR="00F6379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6379C" w:rsidRPr="004D433D">
              <w:rPr>
                <w:rStyle w:val="Hyperlink"/>
                <w:noProof/>
              </w:rPr>
              <w:t>Weitere Schülerversuche</w:t>
            </w:r>
            <w:r w:rsidR="00F6379C">
              <w:rPr>
                <w:noProof/>
                <w:webHidden/>
              </w:rPr>
              <w:tab/>
            </w:r>
            <w:r w:rsidR="00F6379C">
              <w:rPr>
                <w:noProof/>
                <w:webHidden/>
              </w:rPr>
              <w:fldChar w:fldCharType="begin"/>
            </w:r>
            <w:r w:rsidR="00F6379C">
              <w:rPr>
                <w:noProof/>
                <w:webHidden/>
              </w:rPr>
              <w:instrText xml:space="preserve"> PAGEREF _Toc427265637 \h </w:instrText>
            </w:r>
            <w:r w:rsidR="00F6379C">
              <w:rPr>
                <w:noProof/>
                <w:webHidden/>
              </w:rPr>
            </w:r>
            <w:r w:rsidR="00F6379C">
              <w:rPr>
                <w:noProof/>
                <w:webHidden/>
              </w:rPr>
              <w:fldChar w:fldCharType="separate"/>
            </w:r>
            <w:r w:rsidR="00946FA3">
              <w:rPr>
                <w:noProof/>
                <w:webHidden/>
              </w:rPr>
              <w:t>3</w:t>
            </w:r>
            <w:r w:rsidR="00F6379C">
              <w:rPr>
                <w:noProof/>
                <w:webHidden/>
              </w:rPr>
              <w:fldChar w:fldCharType="end"/>
            </w:r>
          </w:hyperlink>
        </w:p>
        <w:p w14:paraId="6AE8A4DE" w14:textId="77777777" w:rsidR="00F6379C" w:rsidRDefault="002F2A14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265638" w:history="1">
            <w:r w:rsidR="00F6379C" w:rsidRPr="004D433D">
              <w:rPr>
                <w:rStyle w:val="Hyperlink"/>
                <w:noProof/>
              </w:rPr>
              <w:t>2.1</w:t>
            </w:r>
            <w:r w:rsidR="00F6379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6379C" w:rsidRPr="004D433D">
              <w:rPr>
                <w:rStyle w:val="Hyperlink"/>
                <w:noProof/>
              </w:rPr>
              <w:t>V2 – Das grüne Leuchten</w:t>
            </w:r>
            <w:r w:rsidR="00F6379C">
              <w:rPr>
                <w:noProof/>
                <w:webHidden/>
              </w:rPr>
              <w:tab/>
            </w:r>
            <w:r w:rsidR="00F6379C">
              <w:rPr>
                <w:noProof/>
                <w:webHidden/>
              </w:rPr>
              <w:fldChar w:fldCharType="begin"/>
            </w:r>
            <w:r w:rsidR="00F6379C">
              <w:rPr>
                <w:noProof/>
                <w:webHidden/>
              </w:rPr>
              <w:instrText xml:space="preserve"> PAGEREF _Toc427265638 \h </w:instrText>
            </w:r>
            <w:r w:rsidR="00F6379C">
              <w:rPr>
                <w:noProof/>
                <w:webHidden/>
              </w:rPr>
            </w:r>
            <w:r w:rsidR="00F6379C">
              <w:rPr>
                <w:noProof/>
                <w:webHidden/>
              </w:rPr>
              <w:fldChar w:fldCharType="separate"/>
            </w:r>
            <w:r w:rsidR="00946FA3">
              <w:rPr>
                <w:noProof/>
                <w:webHidden/>
              </w:rPr>
              <w:t>3</w:t>
            </w:r>
            <w:r w:rsidR="00F6379C">
              <w:rPr>
                <w:noProof/>
                <w:webHidden/>
              </w:rPr>
              <w:fldChar w:fldCharType="end"/>
            </w:r>
          </w:hyperlink>
        </w:p>
        <w:p w14:paraId="2E88943A" w14:textId="77777777" w:rsidR="00E26180" w:rsidRDefault="00E26180">
          <w:r>
            <w:fldChar w:fldCharType="end"/>
          </w:r>
        </w:p>
      </w:sdtContent>
    </w:sdt>
    <w:p w14:paraId="4E8A4BB5" w14:textId="77777777" w:rsidR="005B0270" w:rsidRPr="005B0270" w:rsidRDefault="005B0270" w:rsidP="005B0270"/>
    <w:p w14:paraId="76E65233" w14:textId="1D36411B" w:rsidR="005B0270" w:rsidRDefault="005B0270" w:rsidP="005B0270">
      <w:pPr>
        <w:tabs>
          <w:tab w:val="left" w:pos="3000"/>
        </w:tabs>
      </w:pPr>
      <w:r>
        <w:tab/>
      </w:r>
    </w:p>
    <w:p w14:paraId="20763230" w14:textId="7170114F" w:rsidR="005B0270" w:rsidRDefault="005B0270" w:rsidP="005B0270"/>
    <w:p w14:paraId="7354F48A" w14:textId="77777777" w:rsidR="005B0270" w:rsidRPr="005B0270" w:rsidRDefault="005B0270" w:rsidP="005B0270">
      <w:pPr>
        <w:sectPr w:rsidR="005B0270" w:rsidRPr="005B0270" w:rsidSect="00984EF9"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70957CC8" w14:textId="5D979A39" w:rsidR="0086227B" w:rsidRDefault="00984EF9" w:rsidP="0086227B">
      <w:pPr>
        <w:pStyle w:val="berschrift1"/>
      </w:pPr>
      <w:bookmarkStart w:id="0" w:name="_Toc427265635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0"/>
    </w:p>
    <w:p w14:paraId="07D01F11" w14:textId="4B68B65B" w:rsidR="004A1874" w:rsidRPr="00984EF9" w:rsidRDefault="002F2A14" w:rsidP="004A1874">
      <w:pPr>
        <w:pStyle w:val="berschrift2"/>
      </w:pPr>
      <w:bookmarkStart w:id="1" w:name="_Toc427265636"/>
      <w:r>
        <w:rPr>
          <w:noProof/>
          <w:lang w:eastAsia="de-DE"/>
        </w:rPr>
        <w:pict w14:anchorId="6C45CC17">
          <v:shape id="_x0000_s1195" type="#_x0000_t202" style="position:absolute;left:0;text-align:left;margin-left:-.05pt;margin-top:31.45pt;width:462.45pt;height:72.85pt;z-index:251811840;mso-width-relative:margin;mso-height-relative:margin" fillcolor="white [3201]" strokecolor="#4bacc6 [3208]" strokeweight="1pt">
            <v:stroke dashstyle="dash"/>
            <v:shadow color="#868686"/>
            <v:textbox style="mso-next-textbox:#_x0000_s1195">
              <w:txbxContent>
                <w:p w14:paraId="64EBDDFE" w14:textId="5D876C15" w:rsidR="00D22043" w:rsidRDefault="00D22043" w:rsidP="004A1874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In diesem Lehrerversuch wird </w:t>
                  </w:r>
                  <w:r w:rsidR="009507F9">
                    <w:rPr>
                      <w:color w:val="auto"/>
                    </w:rPr>
                    <w:t>deutlich, dass das konjugierte π</w:t>
                  </w:r>
                  <w:r>
                    <w:rPr>
                      <w:color w:val="auto"/>
                    </w:rPr>
                    <w:t>-System des Farbstoff</w:t>
                  </w:r>
                  <w:r w:rsidR="009507F9"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color w:val="auto"/>
                    </w:rPr>
                    <w:t>Lycopin</w:t>
                  </w:r>
                  <w:proofErr w:type="spellEnd"/>
                  <w:r>
                    <w:rPr>
                      <w:color w:val="auto"/>
                    </w:rPr>
                    <w:t xml:space="preserve"> durch die Addition von Brom verkürzt wird, </w:t>
                  </w:r>
                  <w:r w:rsidR="004448B3">
                    <w:rPr>
                      <w:color w:val="auto"/>
                    </w:rPr>
                    <w:t>dabei verfärbt sich der Tomatensaft gelb.</w:t>
                  </w:r>
                </w:p>
                <w:p w14:paraId="5E504D6E" w14:textId="0E595124" w:rsidR="00D22043" w:rsidRPr="00B14E69" w:rsidRDefault="00D22043" w:rsidP="004A1874">
                  <w:pPr>
                    <w:rPr>
                      <w:b/>
                      <w:color w:val="auto"/>
                    </w:rPr>
                  </w:pPr>
                  <w:r w:rsidRPr="00B14E69">
                    <w:rPr>
                      <w:b/>
                      <w:color w:val="auto"/>
                    </w:rPr>
                    <w:t xml:space="preserve">Dieser Versuch </w:t>
                  </w:r>
                  <w:r w:rsidR="001F2354">
                    <w:rPr>
                      <w:b/>
                      <w:color w:val="auto"/>
                    </w:rPr>
                    <w:t>muss</w:t>
                  </w:r>
                  <w:r w:rsidRPr="00B14E69">
                    <w:rPr>
                      <w:b/>
                      <w:color w:val="auto"/>
                    </w:rPr>
                    <w:t xml:space="preserve"> </w:t>
                  </w:r>
                  <w:r w:rsidR="001F2354">
                    <w:rPr>
                      <w:b/>
                      <w:color w:val="auto"/>
                    </w:rPr>
                    <w:t>im Abzug durchgeführt werden!</w:t>
                  </w:r>
                </w:p>
              </w:txbxContent>
            </v:textbox>
            <w10:wrap type="square"/>
          </v:shape>
        </w:pict>
      </w:r>
      <w:r w:rsidR="00CE08EA">
        <w:t>V1</w:t>
      </w:r>
      <w:r w:rsidR="004A1874">
        <w:t xml:space="preserve"> – </w:t>
      </w:r>
      <w:r w:rsidR="00AF15B3">
        <w:t xml:space="preserve">Der </w:t>
      </w:r>
      <w:r w:rsidR="001F2354">
        <w:t>gelbe</w:t>
      </w:r>
      <w:r w:rsidR="00AF15B3">
        <w:t xml:space="preserve"> Tomatensaft</w:t>
      </w:r>
      <w:bookmarkEnd w:id="1"/>
    </w:p>
    <w:p w14:paraId="564474CA" w14:textId="77777777" w:rsidR="004A1874" w:rsidRDefault="004A1874" w:rsidP="004A1874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4A1874" w:rsidRPr="009C5E28" w14:paraId="32CAE739" w14:textId="77777777" w:rsidTr="004A1874">
        <w:tc>
          <w:tcPr>
            <w:tcW w:w="9322" w:type="dxa"/>
            <w:gridSpan w:val="9"/>
            <w:shd w:val="clear" w:color="auto" w:fill="4F81BD"/>
            <w:vAlign w:val="center"/>
          </w:tcPr>
          <w:p w14:paraId="1B414A45" w14:textId="77777777" w:rsidR="004A1874" w:rsidRPr="00F31EBF" w:rsidRDefault="004A1874" w:rsidP="004A1874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4A1874" w:rsidRPr="00C4111D" w14:paraId="456F9DFB" w14:textId="77777777" w:rsidTr="004A1874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6402E20" w14:textId="77777777" w:rsidR="00AF15B3" w:rsidRDefault="00AF15B3" w:rsidP="004A187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Bromwasser </w:t>
            </w:r>
          </w:p>
          <w:p w14:paraId="2D154B5A" w14:textId="073647E9" w:rsidR="004A1874" w:rsidRPr="00C4111D" w:rsidRDefault="00AF15B3" w:rsidP="004A187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F15B3">
              <w:rPr>
                <w:bCs/>
                <w:i/>
                <w:sz w:val="20"/>
                <w:szCs w:val="20"/>
              </w:rPr>
              <w:t>w</w:t>
            </w:r>
            <w:r>
              <w:rPr>
                <w:bCs/>
                <w:sz w:val="20"/>
                <w:szCs w:val="20"/>
              </w:rPr>
              <w:t xml:space="preserve"> = 1-5 %)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4F886C7" w14:textId="0BF93801" w:rsidR="004A1874" w:rsidRPr="00C4111D" w:rsidRDefault="004A1874" w:rsidP="00C57110">
            <w:pPr>
              <w:spacing w:after="0"/>
              <w:jc w:val="center"/>
              <w:rPr>
                <w:sz w:val="20"/>
                <w:szCs w:val="20"/>
              </w:rPr>
            </w:pPr>
            <w:r w:rsidRPr="00C4111D">
              <w:rPr>
                <w:sz w:val="20"/>
                <w:szCs w:val="20"/>
              </w:rPr>
              <w:t xml:space="preserve">H: </w:t>
            </w:r>
            <w:r w:rsidR="00AF15B3">
              <w:rPr>
                <w:sz w:val="20"/>
                <w:szCs w:val="20"/>
              </w:rPr>
              <w:t>315,319, 350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6D5733EB" w14:textId="59B2BC48" w:rsidR="004A1874" w:rsidRPr="00C4111D" w:rsidRDefault="004A1874" w:rsidP="00C57110">
            <w:pPr>
              <w:spacing w:after="0"/>
              <w:jc w:val="center"/>
              <w:rPr>
                <w:sz w:val="20"/>
                <w:szCs w:val="20"/>
              </w:rPr>
            </w:pPr>
            <w:r w:rsidRPr="00C4111D">
              <w:rPr>
                <w:sz w:val="20"/>
                <w:szCs w:val="20"/>
              </w:rPr>
              <w:t xml:space="preserve">P: </w:t>
            </w:r>
            <w:r w:rsidR="00AF15B3">
              <w:rPr>
                <w:sz w:val="20"/>
                <w:szCs w:val="20"/>
              </w:rPr>
              <w:t>201, 305+351+338, 308+313</w:t>
            </w:r>
          </w:p>
        </w:tc>
      </w:tr>
      <w:tr w:rsidR="004A1874" w:rsidRPr="004A1874" w14:paraId="66CE1432" w14:textId="77777777" w:rsidTr="004A1874">
        <w:trPr>
          <w:trHeight w:val="434"/>
        </w:trPr>
        <w:tc>
          <w:tcPr>
            <w:tcW w:w="302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660C7754" w14:textId="628F4FDB" w:rsidR="004A1874" w:rsidRPr="004A1874" w:rsidRDefault="00B14E69" w:rsidP="004A187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Tomatensaft</w:t>
            </w:r>
          </w:p>
        </w:tc>
        <w:tc>
          <w:tcPr>
            <w:tcW w:w="3177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074AC6DB" w14:textId="2D0C2741" w:rsidR="004A1874" w:rsidRPr="004A1874" w:rsidRDefault="004A1874" w:rsidP="00C5711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4A1874">
              <w:rPr>
                <w:sz w:val="20"/>
                <w:szCs w:val="20"/>
              </w:rPr>
              <w:t xml:space="preserve">H: </w:t>
            </w:r>
            <w:r w:rsidR="00C4111D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bottom w:val="single" w:sz="8" w:space="0" w:color="4F81BD"/>
            </w:tcBorders>
            <w:shd w:val="clear" w:color="auto" w:fill="auto"/>
            <w:vAlign w:val="center"/>
          </w:tcPr>
          <w:p w14:paraId="5ABB8444" w14:textId="464AA84D" w:rsidR="004A1874" w:rsidRPr="004A1874" w:rsidRDefault="004A1874" w:rsidP="00C57110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4A1874">
              <w:rPr>
                <w:sz w:val="20"/>
                <w:szCs w:val="20"/>
              </w:rPr>
              <w:t xml:space="preserve">P: </w:t>
            </w:r>
            <w:r w:rsidR="00C4111D">
              <w:rPr>
                <w:sz w:val="20"/>
                <w:szCs w:val="20"/>
              </w:rPr>
              <w:t>-</w:t>
            </w:r>
          </w:p>
        </w:tc>
      </w:tr>
      <w:tr w:rsidR="004A1874" w:rsidRPr="009C5E28" w14:paraId="503E1D9F" w14:textId="77777777" w:rsidTr="004A1874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AE9A6CC" w14:textId="77777777" w:rsidR="004A1874" w:rsidRPr="009C5E28" w:rsidRDefault="004A1874" w:rsidP="004A18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2840927F" wp14:editId="5040EC46">
                  <wp:extent cx="504000" cy="504000"/>
                  <wp:effectExtent l="0" t="0" r="0" b="0"/>
                  <wp:docPr id="17" name="Grafik 17" descr="C:\Users\Isabel\Studium\master\2. Semester\SVP chemie\musterprotokoll\Piktogramme\Ätzend gra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sabel\Studium\master\2. Semester\SVP chemie\musterprotokoll\Piktogramme\Ätzend gra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40B0916A" w14:textId="1E61A8A5" w:rsidR="004A1874" w:rsidRPr="009C5E28" w:rsidRDefault="00C4111D" w:rsidP="004A18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38F714C" wp14:editId="50FA42A8">
                  <wp:extent cx="504190" cy="50419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50C756EA" w14:textId="4212AD6A" w:rsidR="004A1874" w:rsidRPr="009C5E28" w:rsidRDefault="00C4111D" w:rsidP="004A18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19385D6" wp14:editId="738243C6">
                  <wp:extent cx="504190" cy="50419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0A5E2CD2" w14:textId="77777777" w:rsidR="004A1874" w:rsidRPr="009C5E28" w:rsidRDefault="004A1874" w:rsidP="004A18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6470F13" wp14:editId="7F1A3446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59EA37A6" w14:textId="2F39A03D" w:rsidR="004A1874" w:rsidRPr="009C5E28" w:rsidRDefault="00C4111D" w:rsidP="004A18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0C4FFF4" wp14:editId="309C0B88">
                  <wp:extent cx="504190" cy="50419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0965C076" w14:textId="07AAC769" w:rsidR="004A1874" w:rsidRPr="009C5E28" w:rsidRDefault="00B14E69" w:rsidP="004A18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0C363CE" wp14:editId="43021442">
                  <wp:extent cx="504000" cy="504000"/>
                  <wp:effectExtent l="0" t="0" r="0" b="0"/>
                  <wp:docPr id="13" name="Grafik 13" descr="C:\Users\Isabel\Studium\master\2. Semester\SVP chemie\musterprotokoll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sabel\Studium\master\2. Semester\SVP chemie\musterprotokoll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1F952A96" w14:textId="77777777" w:rsidR="004A1874" w:rsidRPr="009C5E28" w:rsidRDefault="004A1874" w:rsidP="004A18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EEB21C0" wp14:editId="1D7AB5C4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388F8D6A" w14:textId="0EC3A466" w:rsidR="004A1874" w:rsidRPr="009C5E28" w:rsidRDefault="00AF15B3" w:rsidP="004A18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A9044F8" wp14:editId="7DD6D4EC">
                  <wp:extent cx="504000" cy="504000"/>
                  <wp:effectExtent l="0" t="0" r="0" b="0"/>
                  <wp:docPr id="11" name="Grafik 11" descr="C:\Users\Isabel\Studium\master\2. Semester\SVP chemie\musterprotokoll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sabel\Studium\master\2. Semester\SVP chemie\musterprotokoll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630FBF0" w14:textId="77777777" w:rsidR="004A1874" w:rsidRPr="009C5E28" w:rsidRDefault="004A1874" w:rsidP="004A18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ACCF092" wp14:editId="4335E329">
                  <wp:extent cx="504190" cy="50419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BDBB49" w14:textId="77777777" w:rsidR="003721B9" w:rsidRDefault="003721B9" w:rsidP="004A1874">
      <w:pPr>
        <w:tabs>
          <w:tab w:val="left" w:pos="1701"/>
          <w:tab w:val="left" w:pos="1985"/>
        </w:tabs>
        <w:ind w:left="1980" w:hanging="1980"/>
      </w:pPr>
    </w:p>
    <w:p w14:paraId="6B6BDFEC" w14:textId="5A1D7957" w:rsidR="004A1874" w:rsidRDefault="004A1874" w:rsidP="004A1874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 w:rsidR="00C4111D">
        <w:tab/>
      </w:r>
      <w:r>
        <w:tab/>
      </w:r>
      <w:r w:rsidR="00B14E69">
        <w:t>Standzylinder (250 mL), Glasscheibe</w:t>
      </w:r>
      <w:r w:rsidR="00683B98">
        <w:t xml:space="preserve"> oder Uhrglas</w:t>
      </w:r>
      <w:r w:rsidR="00B14E69">
        <w:t>, Pipette, Peleusball, Glasstab</w:t>
      </w:r>
      <w:r w:rsidR="00683B98">
        <w:t>, Handschuhe</w:t>
      </w:r>
    </w:p>
    <w:p w14:paraId="247A47C3" w14:textId="5CB6B61A" w:rsidR="004A1874" w:rsidRPr="00ED07C2" w:rsidRDefault="00C4111D" w:rsidP="004A1874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B14E69">
        <w:t>B</w:t>
      </w:r>
      <w:r w:rsidR="00043C95">
        <w:t>ro</w:t>
      </w:r>
      <w:r w:rsidR="00B14E69">
        <w:t>mwasser, Tomatensaft</w:t>
      </w:r>
    </w:p>
    <w:p w14:paraId="021FD464" w14:textId="39A0B27B" w:rsidR="004A1874" w:rsidRDefault="00C4111D" w:rsidP="0094212B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B14E69">
        <w:t>In den Standzylinder werden 150 mL Tomatensaft gefüllt. Der Saft wird mit 20 mL Bromwasser überschichtet. In dem oberen Teil wird der Saft meh</w:t>
      </w:r>
      <w:r w:rsidR="00B14E69">
        <w:t>r</w:t>
      </w:r>
      <w:r w:rsidR="00B14E69">
        <w:t xml:space="preserve">mals umgerührt und die Farbentwicklung im Tomatensaft beobachtet. </w:t>
      </w:r>
    </w:p>
    <w:p w14:paraId="6E89A673" w14:textId="77777777" w:rsidR="00683055" w:rsidRDefault="00683055" w:rsidP="00683055">
      <w:pPr>
        <w:keepNext/>
        <w:tabs>
          <w:tab w:val="left" w:pos="1701"/>
          <w:tab w:val="left" w:pos="1985"/>
        </w:tabs>
        <w:spacing w:after="0"/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0085F974" wp14:editId="1A182252">
            <wp:extent cx="829397" cy="2736000"/>
            <wp:effectExtent l="0" t="0" r="0" b="0"/>
            <wp:docPr id="2" name="Grafik 2" descr="C:\Users\Isabel\Studium\master\2. Semester\SVP chemie\11 12\foto\20150812_10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bel\Studium\master\2. Semester\SVP chemie\11 12\foto\20150812_1013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9397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76396" w14:textId="57EC71A1" w:rsidR="00683055" w:rsidRDefault="00683055" w:rsidP="00683055">
      <w:pPr>
        <w:pStyle w:val="Beschriftung"/>
        <w:jc w:val="center"/>
      </w:pPr>
      <w:r>
        <w:t xml:space="preserve">Abb. </w:t>
      </w:r>
      <w:fldSimple w:instr=" SEQ Abb. \* ARABIC ">
        <w:r w:rsidR="00946FA3">
          <w:rPr>
            <w:noProof/>
          </w:rPr>
          <w:t>1</w:t>
        </w:r>
      </w:fldSimple>
      <w:r>
        <w:t xml:space="preserve"> - Tomatensaft überschichtet mit Bromwasser zu Beginn</w:t>
      </w:r>
      <w:r w:rsidR="009507F9">
        <w:t xml:space="preserve"> der Reaktion</w:t>
      </w:r>
      <w:r>
        <w:t>.</w:t>
      </w:r>
    </w:p>
    <w:p w14:paraId="7457A87B" w14:textId="2F74FF1C" w:rsidR="001F2354" w:rsidRDefault="00092D80" w:rsidP="00C57110">
      <w:pPr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lastRenderedPageBreak/>
        <w:t>Beobachtung:</w:t>
      </w:r>
      <w:r>
        <w:tab/>
      </w:r>
      <w:r>
        <w:tab/>
      </w:r>
      <w:r w:rsidR="001F2354">
        <w:t xml:space="preserve">Der Tomatensaft verfärbt sich allmählich gelb. </w:t>
      </w:r>
    </w:p>
    <w:p w14:paraId="495E5F4A" w14:textId="655F11DE" w:rsidR="001F2354" w:rsidRDefault="001F2354" w:rsidP="001F2354">
      <w:pPr>
        <w:pStyle w:val="Beschriftung"/>
        <w:jc w:val="center"/>
      </w:pPr>
      <w:r>
        <w:rPr>
          <w:noProof/>
          <w:lang w:eastAsia="de-DE"/>
        </w:rPr>
        <w:drawing>
          <wp:inline distT="0" distB="0" distL="0" distR="0" wp14:anchorId="01834C1B" wp14:editId="1303B29D">
            <wp:extent cx="882920" cy="2736000"/>
            <wp:effectExtent l="0" t="0" r="0" b="0"/>
            <wp:docPr id="1" name="Grafik 1" descr="C:\Users\Isabel\Studium\master\2. Semester\SVP chemie\11 12\foto\20150812_11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sabel\Studium\master\2. Semester\SVP chemie\11 12\foto\20150812_1108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8292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64576" w14:textId="296807A6" w:rsidR="00853655" w:rsidRDefault="001F2354" w:rsidP="001F2354">
      <w:pPr>
        <w:pStyle w:val="Beschriftung"/>
        <w:jc w:val="center"/>
      </w:pPr>
      <w:r>
        <w:t xml:space="preserve">Abb. </w:t>
      </w:r>
      <w:fldSimple w:instr=" SEQ Abb. \* ARABIC ">
        <w:r w:rsidR="00946FA3">
          <w:rPr>
            <w:noProof/>
          </w:rPr>
          <w:t>2</w:t>
        </w:r>
      </w:fldSimple>
      <w:r w:rsidR="003D3C9A">
        <w:t xml:space="preserve"> - D</w:t>
      </w:r>
      <w:r>
        <w:t>er Tomatensaft wird gelb.</w:t>
      </w:r>
    </w:p>
    <w:p w14:paraId="1BB9F06D" w14:textId="56F9B799" w:rsidR="002022DA" w:rsidRDefault="00092D80" w:rsidP="00C57110">
      <w:pPr>
        <w:ind w:left="1980" w:hanging="1980"/>
      </w:pPr>
      <w:r>
        <w:t>Deutung:</w:t>
      </w:r>
      <w:r>
        <w:tab/>
      </w:r>
      <w:r w:rsidR="00DD7E65">
        <w:t xml:space="preserve">Tomaten enthalten den </w:t>
      </w:r>
      <w:proofErr w:type="spellStart"/>
      <w:r w:rsidR="00DD7E65">
        <w:t>Carbonylfarbstoff</w:t>
      </w:r>
      <w:proofErr w:type="spellEnd"/>
      <w:r w:rsidR="00DD7E65">
        <w:t xml:space="preserve"> </w:t>
      </w:r>
      <w:proofErr w:type="spellStart"/>
      <w:r w:rsidR="00DD7E65">
        <w:t>Lycopin</w:t>
      </w:r>
      <w:proofErr w:type="spellEnd"/>
      <w:r w:rsidR="00DD7E65">
        <w:t xml:space="preserve">, dieser </w:t>
      </w:r>
      <w:r w:rsidR="00491331">
        <w:t>besitzt</w:t>
      </w:r>
      <w:r w:rsidR="00DD7E65">
        <w:t xml:space="preserve"> 13 Do</w:t>
      </w:r>
      <w:r w:rsidR="00DD7E65">
        <w:t>p</w:t>
      </w:r>
      <w:r w:rsidR="00DD7E65">
        <w:t xml:space="preserve">pelbindungen (Abb. 2). </w:t>
      </w:r>
    </w:p>
    <w:p w14:paraId="35D680A4" w14:textId="77777777" w:rsidR="002022DA" w:rsidRDefault="002022DA" w:rsidP="002022DA">
      <w:pPr>
        <w:spacing w:after="0"/>
        <w:ind w:left="1980" w:hanging="1980"/>
        <w:jc w:val="center"/>
      </w:pPr>
      <w:r>
        <w:object w:dxaOrig="8368" w:dyaOrig="1003" w14:anchorId="63D32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50.25pt" o:ole="">
            <v:imagedata r:id="rId22" o:title=""/>
          </v:shape>
          <o:OLEObject Type="Embed" ProgID="ChemDraw.Document.6.0" ShapeID="_x0000_i1025" DrawAspect="Content" ObjectID="_1501663198" r:id="rId23"/>
        </w:object>
      </w:r>
    </w:p>
    <w:p w14:paraId="0111E9AD" w14:textId="77777777" w:rsidR="002022DA" w:rsidRDefault="002022DA" w:rsidP="002022DA">
      <w:pPr>
        <w:pStyle w:val="Beschriftung"/>
        <w:jc w:val="center"/>
      </w:pPr>
      <w:r>
        <w:t xml:space="preserve">Abb. </w:t>
      </w:r>
      <w:fldSimple w:instr=" SEQ Abb. \* ARABIC ">
        <w:r w:rsidR="00946FA3">
          <w:rPr>
            <w:noProof/>
          </w:rPr>
          <w:t>3</w:t>
        </w:r>
      </w:fldSimple>
      <w:r>
        <w:t xml:space="preserve"> - Strukturformel von </w:t>
      </w:r>
      <w:proofErr w:type="spellStart"/>
      <w:r>
        <w:t>Lycopin</w:t>
      </w:r>
      <w:proofErr w:type="spellEnd"/>
      <w:r>
        <w:t>.</w:t>
      </w:r>
    </w:p>
    <w:p w14:paraId="731506F6" w14:textId="2835CA4D" w:rsidR="00071021" w:rsidRDefault="00491331" w:rsidP="002022DA">
      <w:pPr>
        <w:ind w:left="1980"/>
      </w:pPr>
      <w:r>
        <w:t>D</w:t>
      </w:r>
      <w:r w:rsidR="001F2354">
        <w:t xml:space="preserve">er Tomatensaft </w:t>
      </w:r>
      <w:r>
        <w:t xml:space="preserve">erscheint </w:t>
      </w:r>
      <w:r w:rsidR="001F2354">
        <w:t>für das menschliche Auge</w:t>
      </w:r>
      <w:r w:rsidR="00840E07">
        <w:t xml:space="preserve"> </w:t>
      </w:r>
      <w:r w:rsidR="001F2354">
        <w:t>rot</w:t>
      </w:r>
      <w:r w:rsidR="0022250E">
        <w:t xml:space="preserve"> (630</w:t>
      </w:r>
      <w:r w:rsidR="00BB6806">
        <w:t xml:space="preserve"> </w:t>
      </w:r>
      <w:r w:rsidR="0022250E">
        <w:t>–790</w:t>
      </w:r>
      <w:r w:rsidR="00BB6806">
        <w:t> </w:t>
      </w:r>
      <w:proofErr w:type="spellStart"/>
      <w:r w:rsidR="0022250E">
        <w:t>nm</w:t>
      </w:r>
      <w:proofErr w:type="spellEnd"/>
      <w:r w:rsidR="0022250E">
        <w:t>)</w:t>
      </w:r>
      <w:r>
        <w:t>, weil er grünes Licht</w:t>
      </w:r>
      <w:r w:rsidR="0022250E">
        <w:t xml:space="preserve"> (480–560 </w:t>
      </w:r>
      <w:proofErr w:type="spellStart"/>
      <w:r w:rsidR="0022250E">
        <w:t>nm</w:t>
      </w:r>
      <w:proofErr w:type="spellEnd"/>
      <w:r w:rsidR="0022250E">
        <w:t>)</w:t>
      </w:r>
      <w:r>
        <w:t xml:space="preserve"> absorbiert</w:t>
      </w:r>
      <w:r w:rsidR="001F2354">
        <w:t xml:space="preserve">. Die </w:t>
      </w:r>
      <w:r w:rsidR="00DD7E65">
        <w:t xml:space="preserve">rote </w:t>
      </w:r>
      <w:r w:rsidR="001F2354">
        <w:t xml:space="preserve">Farbe </w:t>
      </w:r>
      <w:r w:rsidR="00DD7E65">
        <w:t xml:space="preserve">des Safts </w:t>
      </w:r>
      <w:r w:rsidR="001F2354">
        <w:t xml:space="preserve">kommt aufgrund der </w:t>
      </w:r>
      <w:proofErr w:type="spellStart"/>
      <w:r w:rsidR="001F2354">
        <w:t>delokalisierten</w:t>
      </w:r>
      <w:proofErr w:type="spellEnd"/>
      <w:r w:rsidR="001F2354">
        <w:t xml:space="preserve"> Elektronen des </w:t>
      </w:r>
      <w:proofErr w:type="spellStart"/>
      <w:r w:rsidR="001F2354">
        <w:t>Lycopins</w:t>
      </w:r>
      <w:proofErr w:type="spellEnd"/>
      <w:r w:rsidR="001F2354">
        <w:t xml:space="preserve"> zu Stan</w:t>
      </w:r>
      <w:r w:rsidR="00DD7E65">
        <w:t>de. W</w:t>
      </w:r>
      <w:r w:rsidR="001F2354">
        <w:t xml:space="preserve">ird ein Elektron durch Licht angeregt, so </w:t>
      </w:r>
      <w:r w:rsidR="00DD7E65">
        <w:t>g</w:t>
      </w:r>
      <w:r w:rsidR="001F2354">
        <w:t>elangt es auf ein höheres Ene</w:t>
      </w:r>
      <w:r w:rsidR="001F2354">
        <w:t>r</w:t>
      </w:r>
      <w:r w:rsidR="00BB6806">
        <w:t>gieniveau. B</w:t>
      </w:r>
      <w:r w:rsidR="001F2354">
        <w:t xml:space="preserve">eim </w:t>
      </w:r>
      <w:r w:rsidR="00463016">
        <w:t>Zurückfall</w:t>
      </w:r>
      <w:r w:rsidR="0032460F">
        <w:t>en</w:t>
      </w:r>
      <w:r w:rsidR="001F2354">
        <w:t xml:space="preserve"> in den Grundzustand wird Energie in Form von Licht abgegeben. Da Brom </w:t>
      </w:r>
      <w:proofErr w:type="spellStart"/>
      <w:r w:rsidR="002022DA">
        <w:t>nucleophil</w:t>
      </w:r>
      <w:proofErr w:type="spellEnd"/>
      <w:r w:rsidR="002022DA">
        <w:t xml:space="preserve"> </w:t>
      </w:r>
      <w:r w:rsidR="001F2354">
        <w:t xml:space="preserve">an die Doppelbindungen addiert wird, verkürzt sich das </w:t>
      </w:r>
      <w:r w:rsidR="001F2354" w:rsidRPr="001F2354">
        <w:t>π-Elektronensystem</w:t>
      </w:r>
      <w:r w:rsidR="00422340">
        <w:t xml:space="preserve">. Je weniger ausgedehnt ein </w:t>
      </w:r>
      <w:r w:rsidR="00422340" w:rsidRPr="001F2354">
        <w:t>π-Elektronensystem</w:t>
      </w:r>
      <w:r w:rsidR="00BB6806">
        <w:t xml:space="preserve"> ist, </w:t>
      </w:r>
      <w:r w:rsidR="00422340">
        <w:t xml:space="preserve">desto höher ist die erforderliche Energie, </w:t>
      </w:r>
      <w:r w:rsidR="00BB6806" w:rsidRPr="00BB6806">
        <w:t>die ein Elektron benötigt, um den angeregten Zustand zu erreichen</w:t>
      </w:r>
      <w:r w:rsidR="00422340">
        <w:t xml:space="preserve">. Die Folge ist eine Absorption von energiereicherem und kurzwelligerem Licht, es wird nun </w:t>
      </w:r>
      <w:r w:rsidR="00BB6806">
        <w:t xml:space="preserve">blaues </w:t>
      </w:r>
      <w:r w:rsidR="00422340">
        <w:t xml:space="preserve">Licht im Wellenlängenbereich </w:t>
      </w:r>
      <w:r w:rsidR="00BB6806">
        <w:t>von 420–480 </w:t>
      </w:r>
      <w:proofErr w:type="spellStart"/>
      <w:r w:rsidR="00BB6806">
        <w:t>nm</w:t>
      </w:r>
      <w:proofErr w:type="spellEnd"/>
      <w:r w:rsidR="00BB6806">
        <w:t xml:space="preserve"> </w:t>
      </w:r>
      <w:r w:rsidR="00422340">
        <w:t xml:space="preserve">absorbiert und gelbes Licht </w:t>
      </w:r>
      <w:r w:rsidR="00BB6806">
        <w:t>(560–580 </w:t>
      </w:r>
      <w:proofErr w:type="spellStart"/>
      <w:r w:rsidR="00BB6806">
        <w:t>nm</w:t>
      </w:r>
      <w:proofErr w:type="spellEnd"/>
      <w:r w:rsidR="00BB6806">
        <w:t xml:space="preserve">) </w:t>
      </w:r>
      <w:r w:rsidR="00422340">
        <w:t xml:space="preserve">emittiert. </w:t>
      </w:r>
      <w:r w:rsidR="00D22C35">
        <w:t xml:space="preserve">Die Verschiebung der Absorption zu energieärmerem und kurzwelligerem Licht wird auch </w:t>
      </w:r>
      <w:r w:rsidR="00A7251B">
        <w:t>hypsochrome</w:t>
      </w:r>
      <w:bookmarkStart w:id="2" w:name="_GoBack"/>
      <w:bookmarkEnd w:id="2"/>
      <w:r w:rsidR="00D22C35">
        <w:t xml:space="preserve"> Ve</w:t>
      </w:r>
      <w:r w:rsidR="00D22C35">
        <w:t>r</w:t>
      </w:r>
      <w:r w:rsidR="00D22C35">
        <w:t xml:space="preserve">schiebung genannt. </w:t>
      </w:r>
    </w:p>
    <w:p w14:paraId="0B6FBDDD" w14:textId="1B6D4078" w:rsidR="004A1874" w:rsidRDefault="000345E5" w:rsidP="00CB1DE1">
      <w:pPr>
        <w:tabs>
          <w:tab w:val="left" w:pos="1980"/>
        </w:tabs>
        <w:ind w:left="1980" w:right="52" w:hanging="1980"/>
        <w:jc w:val="left"/>
      </w:pPr>
      <w:r>
        <w:lastRenderedPageBreak/>
        <w:t>Entsorgung:</w:t>
      </w:r>
      <w:r w:rsidRPr="000345E5">
        <w:t xml:space="preserve"> </w:t>
      </w:r>
      <w:r w:rsidR="001D5193">
        <w:tab/>
      </w:r>
      <w:r w:rsidR="00667015">
        <w:t>Der Tomatensaft wird mi</w:t>
      </w:r>
      <w:r w:rsidR="00A35147">
        <w:t xml:space="preserve">t gesättigter </w:t>
      </w:r>
      <w:proofErr w:type="spellStart"/>
      <w:r w:rsidR="00A35147">
        <w:t>Natriumthiosulfat</w:t>
      </w:r>
      <w:proofErr w:type="spellEnd"/>
      <w:r w:rsidR="00A35147">
        <w:t xml:space="preserve">-Lösung </w:t>
      </w:r>
      <w:r w:rsidR="00667015">
        <w:t xml:space="preserve">versetzt und in den organischen Abfall gegeben. </w:t>
      </w:r>
    </w:p>
    <w:p w14:paraId="42D48B20" w14:textId="74029989" w:rsidR="004A1874" w:rsidRPr="004D46E7" w:rsidRDefault="001D5193" w:rsidP="00A35147">
      <w:pPr>
        <w:tabs>
          <w:tab w:val="left" w:pos="1980"/>
        </w:tabs>
        <w:ind w:left="2410" w:hanging="2410"/>
        <w:rPr>
          <w:rFonts w:asciiTheme="majorHAnsi" w:hAnsiTheme="majorHAnsi"/>
        </w:rPr>
      </w:pPr>
      <w:r>
        <w:t>Literatur:</w:t>
      </w:r>
      <w:r>
        <w:tab/>
      </w:r>
      <w:r w:rsidR="00A35147">
        <w:t xml:space="preserve">[1] </w:t>
      </w:r>
      <w:r w:rsidR="00B14E69">
        <w:rPr>
          <w:rFonts w:cs="Cambria"/>
          <w:color w:val="1D1B11"/>
        </w:rPr>
        <w:t xml:space="preserve">H. </w:t>
      </w:r>
      <w:proofErr w:type="spellStart"/>
      <w:r w:rsidR="00B14E69">
        <w:rPr>
          <w:rFonts w:cs="Cambria"/>
          <w:color w:val="1D1B11"/>
        </w:rPr>
        <w:t>Schmidkunz</w:t>
      </w:r>
      <w:proofErr w:type="spellEnd"/>
      <w:r w:rsidR="00B14E69">
        <w:rPr>
          <w:rFonts w:cs="Cambria"/>
          <w:color w:val="1D1B11"/>
        </w:rPr>
        <w:t xml:space="preserve">, Chemische Freihandversuche – Band 1, </w:t>
      </w:r>
      <w:proofErr w:type="spellStart"/>
      <w:r w:rsidR="00B14E69">
        <w:rPr>
          <w:rFonts w:cs="Cambria"/>
          <w:color w:val="1D1B11"/>
        </w:rPr>
        <w:t>Aulis</w:t>
      </w:r>
      <w:proofErr w:type="spellEnd"/>
      <w:r w:rsidR="00B14E69">
        <w:rPr>
          <w:rFonts w:cs="Cambria"/>
          <w:color w:val="1D1B11"/>
        </w:rPr>
        <w:t>, 2011</w:t>
      </w:r>
      <w:r w:rsidR="00B14E69">
        <w:rPr>
          <w:rFonts w:cs="Cambria"/>
          <w:color w:val="000000"/>
        </w:rPr>
        <w:t>,</w:t>
      </w:r>
      <w:r w:rsidR="00B14E69">
        <w:rPr>
          <w:rFonts w:cs="Cambria"/>
          <w:color w:val="000000"/>
        </w:rPr>
        <w:br/>
        <w:t>S. </w:t>
      </w:r>
      <w:r w:rsidR="00667015">
        <w:rPr>
          <w:rFonts w:cs="Cambria"/>
          <w:color w:val="000000"/>
        </w:rPr>
        <w:t>377-378</w:t>
      </w:r>
      <w:r w:rsidR="00B14E69">
        <w:rPr>
          <w:rFonts w:cs="Cambria"/>
          <w:color w:val="1D1B11"/>
        </w:rPr>
        <w:t>.</w:t>
      </w:r>
    </w:p>
    <w:p w14:paraId="2332D4A1" w14:textId="2598987D" w:rsidR="00B619BB" w:rsidRDefault="00984EF9" w:rsidP="005669B2">
      <w:pPr>
        <w:pStyle w:val="berschrift1"/>
      </w:pPr>
      <w:bookmarkStart w:id="3" w:name="_Toc427265637"/>
      <w:r>
        <w:t xml:space="preserve">Weitere </w:t>
      </w:r>
      <w:r w:rsidR="00994634">
        <w:t>Schülerversuch</w:t>
      </w:r>
      <w:r>
        <w:t>e</w:t>
      </w:r>
      <w:bookmarkEnd w:id="3"/>
    </w:p>
    <w:p w14:paraId="1A350B22" w14:textId="1A51CBFE" w:rsidR="00823572" w:rsidRDefault="002F2A14" w:rsidP="00C57110">
      <w:pPr>
        <w:pStyle w:val="berschrift2"/>
      </w:pPr>
      <w:bookmarkStart w:id="4" w:name="_Toc427265638"/>
      <w:r>
        <w:rPr>
          <w:noProof/>
          <w:lang w:eastAsia="de-DE"/>
        </w:rPr>
        <w:pict w14:anchorId="0D6625BD">
          <v:shape id="_x0000_s1160" type="#_x0000_t202" style="position:absolute;left:0;text-align:left;margin-left:1.1pt;margin-top:36.9pt;width:462.45pt;height:42pt;z-index:251792384;mso-position-horizontal-relative:text;mso-position-vertical-relative:text;mso-width-relative:margin;mso-height-relative:margin" fillcolor="white [3201]" strokecolor="#4bacc6 [3208]" strokeweight="1pt">
            <v:stroke dashstyle="dash"/>
            <v:shadow color="#868686"/>
            <v:textbox style="mso-next-textbox:#_x0000_s1160">
              <w:txbxContent>
                <w:p w14:paraId="22C286CC" w14:textId="57AC5BC0" w:rsidR="00D22043" w:rsidRPr="00D85B72" w:rsidRDefault="00E42701" w:rsidP="00823572">
                  <w:pPr>
                    <w:rPr>
                      <w:b/>
                      <w:color w:val="auto"/>
                    </w:rPr>
                  </w:pPr>
                  <w:r>
                    <w:rPr>
                      <w:color w:val="auto"/>
                    </w:rPr>
                    <w:t xml:space="preserve">Bei diesem Versuch wird der </w:t>
                  </w:r>
                  <w:proofErr w:type="spellStart"/>
                  <w:r w:rsidR="002022DA">
                    <w:rPr>
                      <w:rFonts w:asciiTheme="majorHAnsi" w:hAnsiTheme="majorHAnsi"/>
                      <w:color w:val="auto"/>
                    </w:rPr>
                    <w:t>Xanthenfarbstoff</w:t>
                  </w:r>
                  <w:proofErr w:type="spellEnd"/>
                  <w:r w:rsidR="002022DA">
                    <w:rPr>
                      <w:rFonts w:asciiTheme="majorHAnsi" w:hAnsiTheme="majorHAnsi"/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>Fluorescein hergestellt.</w:t>
                  </w:r>
                  <w:r w:rsidR="0072675B">
                    <w:rPr>
                      <w:color w:val="auto"/>
                    </w:rPr>
                    <w:t xml:space="preserve"> Statt wasserfreiem Zinkchlorid kann auch wasserfreies Magnesiumchlorid verwendet werden. </w:t>
                  </w:r>
                </w:p>
              </w:txbxContent>
            </v:textbox>
            <w10:wrap type="square"/>
          </v:shape>
        </w:pict>
      </w:r>
      <w:r w:rsidR="00984EF9">
        <w:t>V</w:t>
      </w:r>
      <w:r w:rsidR="00B06FC4">
        <w:t>2</w:t>
      </w:r>
      <w:r w:rsidR="00984EF9">
        <w:t xml:space="preserve"> –</w:t>
      </w:r>
      <w:r w:rsidR="00C57110">
        <w:t xml:space="preserve"> </w:t>
      </w:r>
      <w:r w:rsidR="00137964">
        <w:t>Das grüne Leuchten</w:t>
      </w:r>
      <w:bookmarkEnd w:id="4"/>
      <w:r w:rsidR="00137964">
        <w:t xml:space="preserve"> </w:t>
      </w:r>
    </w:p>
    <w:p w14:paraId="3753A8DA" w14:textId="35F440BE" w:rsidR="00E52685" w:rsidRPr="00E52685" w:rsidRDefault="00E52685" w:rsidP="00E52685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23572" w:rsidRPr="009C5E28" w14:paraId="0B35C2E4" w14:textId="77777777" w:rsidTr="00760FB3">
        <w:tc>
          <w:tcPr>
            <w:tcW w:w="9322" w:type="dxa"/>
            <w:gridSpan w:val="9"/>
            <w:shd w:val="clear" w:color="auto" w:fill="4F81BD"/>
            <w:vAlign w:val="center"/>
          </w:tcPr>
          <w:p w14:paraId="7FF8E9FE" w14:textId="77777777" w:rsidR="00823572" w:rsidRPr="00E42701" w:rsidRDefault="00823572" w:rsidP="00760FB3">
            <w:pPr>
              <w:spacing w:after="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42701">
              <w:rPr>
                <w:b/>
                <w:bCs/>
                <w:color w:val="FFFFFF" w:themeColor="background1"/>
                <w:sz w:val="20"/>
                <w:szCs w:val="20"/>
              </w:rPr>
              <w:t>Gefahrenstoffe</w:t>
            </w:r>
          </w:p>
        </w:tc>
      </w:tr>
      <w:tr w:rsidR="00823572" w:rsidRPr="003A7CC7" w14:paraId="6880C4C1" w14:textId="77777777" w:rsidTr="00760FB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88263FF" w14:textId="653EDBF7" w:rsidR="00823572" w:rsidRPr="00E42701" w:rsidRDefault="00D22043" w:rsidP="00760FB3">
            <w:pPr>
              <w:spacing w:after="0"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E42701">
              <w:rPr>
                <w:bCs/>
                <w:color w:val="auto"/>
                <w:sz w:val="20"/>
                <w:szCs w:val="20"/>
              </w:rPr>
              <w:t>Phtalsäureanhydrid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D42E5D6" w14:textId="4E8CA7F6" w:rsidR="00823572" w:rsidRPr="00E42701" w:rsidRDefault="00823572" w:rsidP="00E4270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 xml:space="preserve">H: </w:t>
            </w:r>
            <w:hyperlink r:id="rId24" w:anchor="H-S.C3.A4tze" w:tooltip="H- und P-Sätze" w:history="1">
              <w:r w:rsidR="00E42701" w:rsidRPr="00E42701">
                <w:rPr>
                  <w:rStyle w:val="Hyperlink"/>
                  <w:color w:val="auto"/>
                  <w:sz w:val="20"/>
                  <w:szCs w:val="20"/>
                  <w:u w:val="none"/>
                </w:rPr>
                <w:t>302</w:t>
              </w:r>
            </w:hyperlink>
            <w:r w:rsidR="00E42701"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25" w:anchor="H-S.C3.A4tze" w:tooltip="H- und P-Sätze" w:history="1">
              <w:r w:rsidR="00E42701" w:rsidRPr="00E42701">
                <w:rPr>
                  <w:rStyle w:val="Hyperlink"/>
                  <w:color w:val="auto"/>
                  <w:sz w:val="20"/>
                  <w:szCs w:val="20"/>
                  <w:u w:val="none"/>
                </w:rPr>
                <w:t>335</w:t>
              </w:r>
            </w:hyperlink>
            <w:r w:rsidR="00E42701"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26" w:anchor="H-S.C3.A4tze" w:tooltip="H- und P-Sätze" w:history="1">
              <w:r w:rsidR="00E42701" w:rsidRPr="00E42701">
                <w:rPr>
                  <w:rStyle w:val="Hyperlink"/>
                  <w:color w:val="auto"/>
                  <w:sz w:val="20"/>
                  <w:szCs w:val="20"/>
                  <w:u w:val="none"/>
                </w:rPr>
                <w:t>315</w:t>
              </w:r>
            </w:hyperlink>
            <w:r w:rsidR="00E42701"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27" w:anchor="H-S.C3.A4tze" w:tooltip="H- und P-Sätze" w:history="1">
              <w:r w:rsidR="00E42701" w:rsidRPr="00E42701">
                <w:rPr>
                  <w:rStyle w:val="Hyperlink"/>
                  <w:color w:val="auto"/>
                  <w:sz w:val="20"/>
                  <w:szCs w:val="20"/>
                  <w:u w:val="none"/>
                </w:rPr>
                <w:t>318</w:t>
              </w:r>
            </w:hyperlink>
            <w:r w:rsidR="00E42701"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28" w:anchor="H-S.C3.A4tze" w:tooltip="H- und P-Sätze" w:history="1">
              <w:r w:rsidR="00E42701" w:rsidRPr="00E42701">
                <w:rPr>
                  <w:rStyle w:val="Hyperlink"/>
                  <w:color w:val="auto"/>
                  <w:sz w:val="20"/>
                  <w:szCs w:val="20"/>
                  <w:u w:val="none"/>
                </w:rPr>
                <w:t>334</w:t>
              </w:r>
            </w:hyperlink>
            <w:r w:rsidR="00E42701"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29" w:anchor="H-S.C3.A4tze" w:tooltip="H- und P-Sätze" w:history="1">
              <w:r w:rsidR="00E42701" w:rsidRPr="00E42701">
                <w:rPr>
                  <w:rStyle w:val="Hyperlink"/>
                  <w:color w:val="auto"/>
                  <w:sz w:val="20"/>
                  <w:szCs w:val="20"/>
                  <w:u w:val="none"/>
                </w:rPr>
                <w:t>317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A77FF0E" w14:textId="7DFCAF3F" w:rsidR="00823572" w:rsidRPr="00E42701" w:rsidRDefault="00823572" w:rsidP="00E4270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 xml:space="preserve">P: </w:t>
            </w:r>
            <w:hyperlink r:id="rId30" w:anchor="P-S.C3.A4tze" w:tooltip="H- und P-Sätze" w:history="1">
              <w:r w:rsidR="00E42701" w:rsidRPr="00E42701">
                <w:rPr>
                  <w:rStyle w:val="Hyperlink"/>
                  <w:color w:val="auto"/>
                  <w:sz w:val="20"/>
                  <w:szCs w:val="20"/>
                  <w:u w:val="none"/>
                </w:rPr>
                <w:t>261</w:t>
              </w:r>
            </w:hyperlink>
            <w:r w:rsidR="00E42701"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31" w:anchor="P-S.C3.A4tze" w:tooltip="H- und P-Sätze" w:history="1">
              <w:r w:rsidR="00E42701" w:rsidRPr="00E42701">
                <w:rPr>
                  <w:rStyle w:val="Hyperlink"/>
                  <w:color w:val="auto"/>
                  <w:sz w:val="20"/>
                  <w:szCs w:val="20"/>
                  <w:u w:val="none"/>
                </w:rPr>
                <w:t>280</w:t>
              </w:r>
            </w:hyperlink>
            <w:r w:rsidR="00E42701"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32" w:anchor="P-S.C3.A4tze" w:tooltip="H- und P-Sätze" w:history="1">
              <w:r w:rsidR="00E42701" w:rsidRPr="00E42701">
                <w:rPr>
                  <w:rStyle w:val="Hyperlink"/>
                  <w:color w:val="auto"/>
                  <w:sz w:val="20"/>
                  <w:szCs w:val="20"/>
                  <w:u w:val="none"/>
                </w:rPr>
                <w:t>305+351+338</w:t>
              </w:r>
            </w:hyperlink>
            <w:r w:rsidR="00E42701" w:rsidRPr="00E42701">
              <w:rPr>
                <w:color w:val="auto"/>
                <w:sz w:val="20"/>
                <w:szCs w:val="20"/>
              </w:rPr>
              <w:t xml:space="preserve">​, </w:t>
            </w:r>
            <w:hyperlink r:id="rId33" w:anchor="P-S.C3.A4tze" w:tooltip="H- und P-Sätze" w:history="1">
              <w:r w:rsidR="00E42701" w:rsidRPr="00E42701">
                <w:rPr>
                  <w:rStyle w:val="Hyperlink"/>
                  <w:color w:val="auto"/>
                  <w:sz w:val="20"/>
                  <w:szCs w:val="20"/>
                  <w:u w:val="none"/>
                </w:rPr>
                <w:t>342+311</w:t>
              </w:r>
            </w:hyperlink>
          </w:p>
        </w:tc>
      </w:tr>
      <w:tr w:rsidR="00D22043" w:rsidRPr="003A7CC7" w14:paraId="6BB818B8" w14:textId="77777777" w:rsidTr="00760FB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D937ED1" w14:textId="10993A6A" w:rsidR="00D22043" w:rsidRPr="00E42701" w:rsidRDefault="00D22043" w:rsidP="00760FB3">
            <w:pPr>
              <w:spacing w:after="0"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E42701">
              <w:rPr>
                <w:bCs/>
                <w:color w:val="auto"/>
                <w:sz w:val="20"/>
                <w:szCs w:val="20"/>
              </w:rPr>
              <w:t>Resorcin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E751FA0" w14:textId="154CFC8C" w:rsidR="00D22043" w:rsidRPr="00E42701" w:rsidRDefault="00E42701" w:rsidP="00E4270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H: 302, 315, 319, 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E4AEECE" w14:textId="6D91E89F" w:rsidR="00D22043" w:rsidRPr="00E42701" w:rsidRDefault="00E42701" w:rsidP="00E4270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P:273, 302+352, 305+351+338</w:t>
            </w:r>
          </w:p>
        </w:tc>
      </w:tr>
      <w:tr w:rsidR="00D22043" w:rsidRPr="003A7CC7" w14:paraId="5A28D49D" w14:textId="77777777" w:rsidTr="00760FB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5FDF3C8" w14:textId="63001374" w:rsidR="00D22043" w:rsidRPr="00E42701" w:rsidRDefault="0072675B" w:rsidP="00760FB3">
            <w:pPr>
              <w:spacing w:after="0"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Wasserfreies </w:t>
            </w:r>
            <w:r w:rsidR="00D22043" w:rsidRPr="00E42701">
              <w:rPr>
                <w:bCs/>
                <w:color w:val="auto"/>
                <w:sz w:val="20"/>
                <w:szCs w:val="20"/>
              </w:rPr>
              <w:t>Zinkchlorid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A7E1141" w14:textId="3E0D83FA" w:rsidR="00D22043" w:rsidRPr="00E42701" w:rsidRDefault="00E42701" w:rsidP="00E4270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H: 302, 314,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168BD08" w14:textId="26204F14" w:rsidR="00D22043" w:rsidRPr="00E42701" w:rsidRDefault="00E42701" w:rsidP="00E4270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P: 273, 280, 301+330+331, 305+351+338, 308+310</w:t>
            </w:r>
          </w:p>
        </w:tc>
      </w:tr>
      <w:tr w:rsidR="00D22043" w:rsidRPr="003A7CC7" w14:paraId="6364185B" w14:textId="77777777" w:rsidTr="00760FB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91AB34E" w14:textId="077B3553" w:rsidR="00D22043" w:rsidRPr="00E42701" w:rsidRDefault="00D22043" w:rsidP="00760FB3">
            <w:pPr>
              <w:spacing w:after="0"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E42701">
              <w:rPr>
                <w:bCs/>
                <w:color w:val="auto"/>
                <w:sz w:val="20"/>
                <w:szCs w:val="20"/>
              </w:rPr>
              <w:t>verdünnte Natronlauge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05D84BE" w14:textId="622FBD64" w:rsidR="00D22043" w:rsidRPr="00E42701" w:rsidRDefault="00E42701" w:rsidP="00E4270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H: 290,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EBA127D" w14:textId="3C4CCCAB" w:rsidR="00D22043" w:rsidRPr="00E42701" w:rsidRDefault="00E42701" w:rsidP="00E4270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E42701">
              <w:rPr>
                <w:color w:val="auto"/>
                <w:sz w:val="20"/>
                <w:szCs w:val="20"/>
              </w:rPr>
              <w:t>P: 280, 301+330+331, 305+351+338, 308+310</w:t>
            </w:r>
          </w:p>
        </w:tc>
      </w:tr>
      <w:tr w:rsidR="003716E6" w:rsidRPr="003A7CC7" w14:paraId="65BF476D" w14:textId="77777777" w:rsidTr="00760FB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22E3066" w14:textId="762418C8" w:rsidR="003716E6" w:rsidRPr="00E42701" w:rsidRDefault="003716E6" w:rsidP="00760FB3">
            <w:pPr>
              <w:spacing w:after="0"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Fluorescein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1039B49" w14:textId="61D797FB" w:rsidR="003716E6" w:rsidRPr="00E42701" w:rsidRDefault="003716E6" w:rsidP="00E4270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H: 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691E62" w14:textId="7E31F677" w:rsidR="003716E6" w:rsidRPr="00E42701" w:rsidRDefault="003716E6" w:rsidP="00E4270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P: 305+351+338</w:t>
            </w:r>
          </w:p>
        </w:tc>
      </w:tr>
      <w:tr w:rsidR="00823572" w:rsidRPr="009C5E28" w14:paraId="3AFACDF8" w14:textId="77777777" w:rsidTr="00760FB3">
        <w:tc>
          <w:tcPr>
            <w:tcW w:w="1009" w:type="dxa"/>
            <w:tcBorders>
              <w:top w:val="nil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1797688" w14:textId="0E41EC1D" w:rsidR="00823572" w:rsidRPr="009C5E28" w:rsidRDefault="00D22043" w:rsidP="00760FB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120BDE6B" wp14:editId="6C606617">
                  <wp:extent cx="504000" cy="504000"/>
                  <wp:effectExtent l="0" t="0" r="0" b="0"/>
                  <wp:docPr id="49" name="Grafik 49" descr="C:\Users\Isabel\Studium\master\2. Semester\SVP chemie\musterprotokoll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sabel\Studium\master\2. Semester\SVP chemie\musterprotokoll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6BC50CF4" w14:textId="11021C3A" w:rsidR="00823572" w:rsidRPr="009C5E28" w:rsidRDefault="008A553F" w:rsidP="00760FB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90195B8" wp14:editId="6CD9739B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018EECC6" w14:textId="77777777" w:rsidR="00823572" w:rsidRPr="009C5E28" w:rsidRDefault="00823572" w:rsidP="00760FB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9FD1DD" wp14:editId="78430F61">
                  <wp:extent cx="504190" cy="50419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631E0C6B" w14:textId="77777777" w:rsidR="00823572" w:rsidRPr="009C5E28" w:rsidRDefault="00823572" w:rsidP="00760FB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B2056F" wp14:editId="2B873D48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12CF5053" w14:textId="77777777" w:rsidR="00823572" w:rsidRPr="009C5E28" w:rsidRDefault="00823572" w:rsidP="00760FB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E46B158" wp14:editId="790E7407">
                  <wp:extent cx="504190" cy="504190"/>
                  <wp:effectExtent l="0" t="0" r="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36492ADD" w14:textId="67FE4AE1" w:rsidR="00823572" w:rsidRPr="009C5E28" w:rsidRDefault="00D22043" w:rsidP="00760FB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18B9094" wp14:editId="02363464">
                  <wp:extent cx="504000" cy="504000"/>
                  <wp:effectExtent l="0" t="0" r="0" b="0"/>
                  <wp:docPr id="42" name="Grafik 42" descr="C:\Users\Isabel\Studium\master\2. Semester\SVP chemie\musterprotokoll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sabel\Studium\master\2. Semester\SVP chemie\musterprotokoll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2FFE284B" w14:textId="77777777" w:rsidR="00823572" w:rsidRPr="009C5E28" w:rsidRDefault="00823572" w:rsidP="00760FB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C6F1E7C" wp14:editId="6DF14AB1">
                  <wp:extent cx="504190" cy="50419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nil"/>
              <w:bottom w:val="single" w:sz="8" w:space="0" w:color="4F81BD"/>
            </w:tcBorders>
            <w:shd w:val="clear" w:color="auto" w:fill="auto"/>
            <w:vAlign w:val="center"/>
          </w:tcPr>
          <w:p w14:paraId="445C8E14" w14:textId="1F6F7AAA" w:rsidR="00823572" w:rsidRPr="009C5E28" w:rsidRDefault="00D22043" w:rsidP="00760FB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2C17BDD" wp14:editId="23B9984A">
                  <wp:extent cx="504000" cy="504000"/>
                  <wp:effectExtent l="0" t="0" r="0" b="0"/>
                  <wp:docPr id="51" name="Grafik 51" descr="C:\Users\Isabel\Studium\master\2. Semester\SVP chemie\musterprotokoll\Piktogramme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sabel\Studium\master\2. Semester\SVP chemie\musterprotokoll\Piktogramme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DC35E06" w14:textId="127944E2" w:rsidR="00823572" w:rsidRPr="009C5E28" w:rsidRDefault="00E42701" w:rsidP="00760FB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1545EE7" wp14:editId="2CC9A4BA">
                  <wp:extent cx="504000" cy="504000"/>
                  <wp:effectExtent l="0" t="0" r="0" b="0"/>
                  <wp:docPr id="53" name="Grafik 53" descr="C:\Users\Isabel\Studium\master\2. Semester\SVP chemie\musterprotokoll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sabel\Studium\master\2. Semester\SVP chemie\musterprotokoll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BC6901" w14:textId="77777777" w:rsidR="00823572" w:rsidRDefault="00823572" w:rsidP="00823572">
      <w:pPr>
        <w:tabs>
          <w:tab w:val="left" w:pos="1701"/>
          <w:tab w:val="left" w:pos="1985"/>
        </w:tabs>
        <w:ind w:left="1980" w:hanging="1980"/>
      </w:pPr>
    </w:p>
    <w:p w14:paraId="511510E5" w14:textId="201EB56D" w:rsidR="00823572" w:rsidRDefault="00823572" w:rsidP="0082357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E42701">
        <w:t xml:space="preserve">Reagenzglas, </w:t>
      </w:r>
      <w:r w:rsidR="00AD482E">
        <w:t xml:space="preserve">Stopfen, </w:t>
      </w:r>
      <w:r w:rsidR="00E42701">
        <w:t xml:space="preserve">Reagenzglashalter, Gasbrenner, </w:t>
      </w:r>
      <w:r w:rsidR="00370694">
        <w:t>Reagenzglaskla</w:t>
      </w:r>
      <w:r w:rsidR="00370694">
        <w:t>m</w:t>
      </w:r>
      <w:r w:rsidR="00370694">
        <w:t>mer, Bechergl</w:t>
      </w:r>
      <w:r w:rsidR="00AD482E">
        <w:t>as, Pipette, Peleusball, (UV-Lampe)</w:t>
      </w:r>
    </w:p>
    <w:p w14:paraId="3036109C" w14:textId="1016B4A0" w:rsidR="00823572" w:rsidRPr="008A553F" w:rsidRDefault="00823572" w:rsidP="0082357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 w:rsidR="00370694" w:rsidRPr="00370694">
        <w:rPr>
          <w:bCs/>
          <w:color w:val="auto"/>
          <w:szCs w:val="20"/>
        </w:rPr>
        <w:t>Phtalsäureanhydrid</w:t>
      </w:r>
      <w:proofErr w:type="spellEnd"/>
      <w:r w:rsidR="00370694" w:rsidRPr="00370694">
        <w:rPr>
          <w:bCs/>
          <w:color w:val="auto"/>
          <w:szCs w:val="20"/>
        </w:rPr>
        <w:t xml:space="preserve">, </w:t>
      </w:r>
      <w:proofErr w:type="spellStart"/>
      <w:r w:rsidR="00370694" w:rsidRPr="00370694">
        <w:rPr>
          <w:bCs/>
          <w:color w:val="auto"/>
          <w:szCs w:val="20"/>
        </w:rPr>
        <w:t>Resorcin</w:t>
      </w:r>
      <w:proofErr w:type="spellEnd"/>
      <w:r w:rsidR="00370694" w:rsidRPr="00370694">
        <w:rPr>
          <w:bCs/>
          <w:color w:val="auto"/>
          <w:szCs w:val="20"/>
        </w:rPr>
        <w:t xml:space="preserve">, </w:t>
      </w:r>
      <w:r w:rsidR="0072675B">
        <w:rPr>
          <w:bCs/>
          <w:color w:val="auto"/>
          <w:szCs w:val="20"/>
        </w:rPr>
        <w:t xml:space="preserve">wasserfreies </w:t>
      </w:r>
      <w:r w:rsidR="00370694" w:rsidRPr="00370694">
        <w:rPr>
          <w:bCs/>
          <w:color w:val="auto"/>
          <w:szCs w:val="20"/>
        </w:rPr>
        <w:t>Zinkchlorid</w:t>
      </w:r>
      <w:r w:rsidR="0072675B">
        <w:rPr>
          <w:bCs/>
          <w:color w:val="auto"/>
          <w:szCs w:val="20"/>
        </w:rPr>
        <w:t xml:space="preserve"> oder</w:t>
      </w:r>
      <w:r w:rsidR="00AD482E">
        <w:rPr>
          <w:bCs/>
          <w:color w:val="auto"/>
          <w:szCs w:val="20"/>
        </w:rPr>
        <w:t xml:space="preserve"> Magnesiu</w:t>
      </w:r>
      <w:r w:rsidR="00AD482E">
        <w:rPr>
          <w:bCs/>
          <w:color w:val="auto"/>
          <w:szCs w:val="20"/>
        </w:rPr>
        <w:t>m</w:t>
      </w:r>
      <w:r w:rsidR="00AD482E">
        <w:rPr>
          <w:bCs/>
          <w:color w:val="auto"/>
          <w:szCs w:val="20"/>
        </w:rPr>
        <w:t>chlorid</w:t>
      </w:r>
      <w:r w:rsidR="00370694" w:rsidRPr="00370694">
        <w:rPr>
          <w:bCs/>
          <w:color w:val="auto"/>
          <w:szCs w:val="20"/>
        </w:rPr>
        <w:t>, verdünnte Natronlauge</w:t>
      </w:r>
      <w:r w:rsidR="00AD482E">
        <w:rPr>
          <w:bCs/>
          <w:color w:val="auto"/>
          <w:szCs w:val="20"/>
        </w:rPr>
        <w:t>, demineralisiertes Wasser</w:t>
      </w:r>
    </w:p>
    <w:p w14:paraId="25280E56" w14:textId="1B763AA1" w:rsidR="00823572" w:rsidRDefault="00823572" w:rsidP="00C57110">
      <w:pPr>
        <w:keepNext/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370694">
        <w:t xml:space="preserve">In ein Reagenzglas werden eine Spatelspitze </w:t>
      </w:r>
      <w:proofErr w:type="spellStart"/>
      <w:r w:rsidR="00370694" w:rsidRPr="00370694">
        <w:rPr>
          <w:bCs/>
          <w:color w:val="auto"/>
          <w:szCs w:val="20"/>
        </w:rPr>
        <w:t>Phtalsäureanhydrid</w:t>
      </w:r>
      <w:proofErr w:type="spellEnd"/>
      <w:r w:rsidR="00370694">
        <w:rPr>
          <w:bCs/>
          <w:color w:val="auto"/>
          <w:szCs w:val="20"/>
        </w:rPr>
        <w:t xml:space="preserve"> und </w:t>
      </w:r>
      <w:proofErr w:type="spellStart"/>
      <w:r w:rsidR="00370694" w:rsidRPr="00370694">
        <w:rPr>
          <w:bCs/>
          <w:color w:val="auto"/>
          <w:szCs w:val="20"/>
        </w:rPr>
        <w:t>R</w:t>
      </w:r>
      <w:r w:rsidR="00370694" w:rsidRPr="00370694">
        <w:rPr>
          <w:bCs/>
          <w:color w:val="auto"/>
          <w:szCs w:val="20"/>
        </w:rPr>
        <w:t>e</w:t>
      </w:r>
      <w:r w:rsidR="00370694" w:rsidRPr="00370694">
        <w:rPr>
          <w:bCs/>
          <w:color w:val="auto"/>
          <w:szCs w:val="20"/>
        </w:rPr>
        <w:t>sorcin</w:t>
      </w:r>
      <w:proofErr w:type="spellEnd"/>
      <w:r w:rsidR="00370694">
        <w:rPr>
          <w:bCs/>
          <w:color w:val="auto"/>
          <w:szCs w:val="20"/>
        </w:rPr>
        <w:t xml:space="preserve"> gegeben. </w:t>
      </w:r>
      <w:r w:rsidR="00291636">
        <w:rPr>
          <w:bCs/>
          <w:color w:val="auto"/>
          <w:szCs w:val="20"/>
        </w:rPr>
        <w:t xml:space="preserve">Nach der Zugabe von </w:t>
      </w:r>
      <w:r w:rsidR="00370694">
        <w:rPr>
          <w:bCs/>
          <w:color w:val="auto"/>
          <w:szCs w:val="20"/>
        </w:rPr>
        <w:t xml:space="preserve">zwei Spatelspitzen Zinkchlorid, wird solange über </w:t>
      </w:r>
      <w:r w:rsidR="00AD482E">
        <w:rPr>
          <w:bCs/>
          <w:color w:val="auto"/>
          <w:szCs w:val="20"/>
        </w:rPr>
        <w:t>kleiner</w:t>
      </w:r>
      <w:r w:rsidR="00370694">
        <w:rPr>
          <w:bCs/>
          <w:color w:val="auto"/>
          <w:szCs w:val="20"/>
        </w:rPr>
        <w:t xml:space="preserve"> Brennerflamme erhitzt, bis eine Schmelze </w:t>
      </w:r>
      <w:r w:rsidR="00291636">
        <w:rPr>
          <w:bCs/>
          <w:color w:val="auto"/>
          <w:szCs w:val="20"/>
        </w:rPr>
        <w:t>entsteht</w:t>
      </w:r>
      <w:r w:rsidR="00370694">
        <w:rPr>
          <w:bCs/>
          <w:color w:val="auto"/>
          <w:szCs w:val="20"/>
        </w:rPr>
        <w:t>. Die Schmelze wird nach dem Abkühlen mit 3 mL verdünnter Natronlauge versetzt und geschüttelt. Die erhaltene Lösung wird in ein zu ca. vier Fün</w:t>
      </w:r>
      <w:r w:rsidR="00370694">
        <w:rPr>
          <w:bCs/>
          <w:color w:val="auto"/>
          <w:szCs w:val="20"/>
        </w:rPr>
        <w:t>f</w:t>
      </w:r>
      <w:r w:rsidR="00E144C0">
        <w:rPr>
          <w:bCs/>
          <w:color w:val="auto"/>
          <w:szCs w:val="20"/>
        </w:rPr>
        <w:lastRenderedPageBreak/>
        <w:t>tel</w:t>
      </w:r>
      <w:r w:rsidR="00370694">
        <w:rPr>
          <w:bCs/>
          <w:color w:val="auto"/>
          <w:szCs w:val="20"/>
        </w:rPr>
        <w:t xml:space="preserve"> gefülltes Becherglas mit Wasser gegeben. </w:t>
      </w:r>
      <w:r w:rsidR="00AD482E">
        <w:rPr>
          <w:bCs/>
          <w:color w:val="auto"/>
          <w:szCs w:val="20"/>
        </w:rPr>
        <w:t>Der Farbstoff kann zusätzlich mit UV-Licht beleuchtet werden.</w:t>
      </w:r>
    </w:p>
    <w:p w14:paraId="1A060DB1" w14:textId="6D670109" w:rsidR="00433F51" w:rsidRDefault="00823572" w:rsidP="00C5711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3D4BF8">
        <w:t>Durch das</w:t>
      </w:r>
      <w:r w:rsidR="000D43DF">
        <w:t xml:space="preserve"> Erhitzen entsteht zunächst eine blutrote </w:t>
      </w:r>
      <w:r w:rsidR="0072675B">
        <w:t>Schmelze. Beim Eingi</w:t>
      </w:r>
      <w:r w:rsidR="0072675B">
        <w:t>e</w:t>
      </w:r>
      <w:r w:rsidR="0072675B">
        <w:t xml:space="preserve">ßen in das Wasser </w:t>
      </w:r>
      <w:r w:rsidR="000D43DF">
        <w:t>entsteht ei</w:t>
      </w:r>
      <w:r w:rsidR="00AD482E">
        <w:t>ne grün-fluoreszierende Lösung, durch B</w:t>
      </w:r>
      <w:r w:rsidR="00AD482E">
        <w:t>e</w:t>
      </w:r>
      <w:r w:rsidR="00AD482E">
        <w:t xml:space="preserve">leuchtung mit der UV-Lampe wird die Fluoreszenz verstärkt. </w:t>
      </w:r>
    </w:p>
    <w:p w14:paraId="05B146EB" w14:textId="3054732C" w:rsidR="0072675B" w:rsidRDefault="0072675B" w:rsidP="0072675B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1A2D3556" wp14:editId="15CAAFB7">
            <wp:extent cx="1381034" cy="1800000"/>
            <wp:effectExtent l="0" t="0" r="0" b="0"/>
            <wp:docPr id="58" name="Grafik 58" descr="C:\Users\Isabel\Studium\master\2. Semester\SVP chemie\11 12\foto\20150811_13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sabel\Studium\master\2. Semester\SVP chemie\11 12\foto\20150811_1339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8103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3C1CB" w14:textId="69D1486E" w:rsidR="0072675B" w:rsidRDefault="0072675B" w:rsidP="0072675B">
      <w:pPr>
        <w:pStyle w:val="Beschriftung"/>
        <w:jc w:val="center"/>
      </w:pPr>
      <w:r>
        <w:t xml:space="preserve">Abb. </w:t>
      </w:r>
      <w:fldSimple w:instr=" SEQ Abb. \* ARABIC ">
        <w:r w:rsidR="00946FA3">
          <w:rPr>
            <w:noProof/>
          </w:rPr>
          <w:t>4</w:t>
        </w:r>
      </w:fldSimple>
      <w:r w:rsidR="003D4BF8">
        <w:t xml:space="preserve"> - G</w:t>
      </w:r>
      <w:r>
        <w:t>rün-fluoreszierende Lösung.</w:t>
      </w:r>
    </w:p>
    <w:p w14:paraId="3E2A808B" w14:textId="7D525C8A" w:rsidR="00823572" w:rsidRDefault="009F584E" w:rsidP="00C57110">
      <w:pPr>
        <w:tabs>
          <w:tab w:val="left" w:pos="1980"/>
        </w:tabs>
        <w:ind w:left="1980" w:hanging="1980"/>
        <w:rPr>
          <w:rFonts w:eastAsiaTheme="minorEastAsia"/>
        </w:rPr>
      </w:pPr>
      <w:r>
        <w:t>Deutung:</w:t>
      </w:r>
      <w:r>
        <w:tab/>
      </w:r>
      <w:r w:rsidR="0072675B">
        <w:t xml:space="preserve">In einer Kondensationsreaktion wird beim Erhitzen von </w:t>
      </w:r>
      <w:proofErr w:type="spellStart"/>
      <w:r w:rsidR="0072675B" w:rsidRPr="0072675B">
        <w:rPr>
          <w:bCs/>
          <w:color w:val="auto"/>
          <w:szCs w:val="20"/>
        </w:rPr>
        <w:t>Phtalsäureanhy</w:t>
      </w:r>
      <w:r w:rsidR="0072675B" w:rsidRPr="0072675B">
        <w:rPr>
          <w:bCs/>
          <w:color w:val="auto"/>
          <w:szCs w:val="20"/>
        </w:rPr>
        <w:t>d</w:t>
      </w:r>
      <w:r w:rsidR="0072675B" w:rsidRPr="0072675B">
        <w:rPr>
          <w:bCs/>
          <w:color w:val="auto"/>
          <w:szCs w:val="20"/>
        </w:rPr>
        <w:t>rid</w:t>
      </w:r>
      <w:proofErr w:type="spellEnd"/>
      <w:r w:rsidR="0072675B">
        <w:rPr>
          <w:bCs/>
          <w:color w:val="auto"/>
          <w:szCs w:val="20"/>
        </w:rPr>
        <w:t xml:space="preserve"> und </w:t>
      </w:r>
      <w:proofErr w:type="spellStart"/>
      <w:r w:rsidR="0072675B">
        <w:rPr>
          <w:bCs/>
          <w:color w:val="auto"/>
          <w:szCs w:val="20"/>
        </w:rPr>
        <w:t>Resorcin</w:t>
      </w:r>
      <w:proofErr w:type="spellEnd"/>
      <w:r w:rsidR="0072675B">
        <w:rPr>
          <w:bCs/>
          <w:color w:val="auto"/>
          <w:szCs w:val="20"/>
        </w:rPr>
        <w:t xml:space="preserve"> das </w:t>
      </w:r>
      <w:proofErr w:type="spellStart"/>
      <w:r w:rsidR="0072675B">
        <w:rPr>
          <w:bCs/>
          <w:color w:val="auto"/>
          <w:szCs w:val="20"/>
        </w:rPr>
        <w:t>Fluorescin</w:t>
      </w:r>
      <w:proofErr w:type="spellEnd"/>
      <w:r w:rsidR="0072675B">
        <w:rPr>
          <w:bCs/>
          <w:color w:val="auto"/>
          <w:szCs w:val="20"/>
        </w:rPr>
        <w:t xml:space="preserve"> gebildet. Das entstandene Wasser wird von dem Zinkchlorid gebunden. Sobald die Natronlauge hinzugegeben wird, entsteht das Natriumsalz der Verbindung. </w:t>
      </w:r>
    </w:p>
    <w:p w14:paraId="7F921861" w14:textId="0D2AD84D" w:rsidR="00823572" w:rsidRDefault="009F584E" w:rsidP="009F584E">
      <w:pPr>
        <w:tabs>
          <w:tab w:val="left" w:pos="1980"/>
        </w:tabs>
        <w:ind w:left="1980" w:hanging="1980"/>
        <w:jc w:val="left"/>
      </w:pPr>
      <w:r>
        <w:t>Entsorgung:</w:t>
      </w:r>
      <w:r>
        <w:tab/>
      </w:r>
      <w:r w:rsidR="009F128D">
        <w:t>Die Entsorgung</w:t>
      </w:r>
      <w:r w:rsidR="004B6D5C">
        <w:t xml:space="preserve"> der Fluorescein-Lösung </w:t>
      </w:r>
      <w:r w:rsidR="009F128D">
        <w:t xml:space="preserve"> </w:t>
      </w:r>
      <w:r w:rsidR="0072675B">
        <w:t xml:space="preserve">erfolgt im organischen Abfall. </w:t>
      </w:r>
    </w:p>
    <w:p w14:paraId="5BAEC31D" w14:textId="3F49A045" w:rsidR="00EC7181" w:rsidRDefault="00823572" w:rsidP="008033D6">
      <w:pPr>
        <w:tabs>
          <w:tab w:val="left" w:pos="1980"/>
        </w:tabs>
        <w:ind w:left="2410" w:hanging="2410"/>
        <w:rPr>
          <w:rFonts w:cs="Cambria"/>
          <w:color w:val="1D1B11"/>
        </w:rPr>
      </w:pPr>
      <w:r>
        <w:t>Literatur:</w:t>
      </w:r>
      <w:r>
        <w:tab/>
      </w:r>
      <w:r w:rsidR="003D4BF8">
        <w:t>[1</w:t>
      </w:r>
      <w:r w:rsidR="009F128D">
        <w:t xml:space="preserve">] </w:t>
      </w:r>
      <w:r w:rsidR="0072675B">
        <w:rPr>
          <w:rFonts w:cs="Cambria"/>
          <w:color w:val="1D1B11"/>
        </w:rPr>
        <w:t xml:space="preserve">H. </w:t>
      </w:r>
      <w:proofErr w:type="spellStart"/>
      <w:r w:rsidR="0072675B">
        <w:rPr>
          <w:rFonts w:cs="Cambria"/>
          <w:color w:val="1D1B11"/>
        </w:rPr>
        <w:t>Schmidkunz</w:t>
      </w:r>
      <w:proofErr w:type="spellEnd"/>
      <w:r w:rsidR="0072675B">
        <w:rPr>
          <w:rFonts w:cs="Cambria"/>
          <w:color w:val="1D1B11"/>
        </w:rPr>
        <w:t xml:space="preserve">, Chemische Freihandversuche – Band 1, </w:t>
      </w:r>
      <w:proofErr w:type="spellStart"/>
      <w:r w:rsidR="0072675B">
        <w:rPr>
          <w:rFonts w:cs="Cambria"/>
          <w:color w:val="1D1B11"/>
        </w:rPr>
        <w:t>Aulis</w:t>
      </w:r>
      <w:proofErr w:type="spellEnd"/>
      <w:r w:rsidR="0072675B">
        <w:rPr>
          <w:rFonts w:cs="Cambria"/>
          <w:color w:val="1D1B11"/>
        </w:rPr>
        <w:t>, 2011</w:t>
      </w:r>
      <w:r w:rsidR="0072675B">
        <w:rPr>
          <w:rFonts w:cs="Cambria"/>
          <w:color w:val="000000"/>
        </w:rPr>
        <w:t>,</w:t>
      </w:r>
      <w:r w:rsidR="0072675B">
        <w:rPr>
          <w:rFonts w:cs="Cambria"/>
          <w:color w:val="000000"/>
        </w:rPr>
        <w:br/>
        <w:t>S. 380</w:t>
      </w:r>
      <w:r w:rsidR="0072675B">
        <w:rPr>
          <w:rFonts w:cs="Cambria"/>
          <w:color w:val="1D1B11"/>
        </w:rPr>
        <w:t>.</w:t>
      </w:r>
    </w:p>
    <w:p w14:paraId="39B5FAAA" w14:textId="12B01DA6" w:rsidR="00C3799C" w:rsidRPr="00C3799C" w:rsidRDefault="0072675B" w:rsidP="007C67A1">
      <w:pPr>
        <w:tabs>
          <w:tab w:val="left" w:pos="1985"/>
        </w:tabs>
        <w:ind w:left="2410" w:hanging="1983"/>
        <w:rPr>
          <w:rFonts w:cs="Cambria"/>
          <w:color w:val="FF0000"/>
        </w:rPr>
      </w:pPr>
      <w:r>
        <w:rPr>
          <w:rFonts w:cs="Cambria"/>
          <w:color w:val="1D1B11"/>
        </w:rPr>
        <w:tab/>
        <w:t xml:space="preserve">[2] </w:t>
      </w:r>
      <w:r w:rsidR="00C3799C" w:rsidRPr="00C3799C">
        <w:rPr>
          <w:rFonts w:cs="Cambria"/>
          <w:color w:val="auto"/>
        </w:rPr>
        <w:t xml:space="preserve">E. Irmer, R. </w:t>
      </w:r>
      <w:proofErr w:type="spellStart"/>
      <w:r w:rsidR="00C3799C" w:rsidRPr="00C3799C">
        <w:rPr>
          <w:rFonts w:cs="Cambria"/>
          <w:color w:val="auto"/>
        </w:rPr>
        <w:t>Kleinhenn</w:t>
      </w:r>
      <w:proofErr w:type="spellEnd"/>
      <w:r w:rsidR="00C3799C" w:rsidRPr="00C3799C">
        <w:rPr>
          <w:rFonts w:cs="Cambria"/>
          <w:color w:val="auto"/>
        </w:rPr>
        <w:t>, M. Sternberg,</w:t>
      </w:r>
      <w:r w:rsidR="00C3799C">
        <w:rPr>
          <w:rFonts w:cs="Cambria"/>
          <w:color w:val="auto"/>
        </w:rPr>
        <w:t xml:space="preserve"> </w:t>
      </w:r>
      <w:r w:rsidR="00C3799C" w:rsidRPr="00C3799C">
        <w:rPr>
          <w:rFonts w:cs="Cambria"/>
          <w:color w:val="auto"/>
        </w:rPr>
        <w:t xml:space="preserve">J. </w:t>
      </w:r>
      <w:proofErr w:type="spellStart"/>
      <w:r w:rsidR="00C3799C" w:rsidRPr="00C3799C">
        <w:rPr>
          <w:rFonts w:cs="Cambria"/>
          <w:color w:val="auto"/>
        </w:rPr>
        <w:t>Töhl-Borsdorf</w:t>
      </w:r>
      <w:proofErr w:type="spellEnd"/>
      <w:r w:rsidR="00C3799C" w:rsidRPr="00C3799C">
        <w:rPr>
          <w:rFonts w:cs="Cambria"/>
          <w:color w:val="auto"/>
        </w:rPr>
        <w:t>, Elemente Chemie 11/12, Ernst-Klett Verlag, Stuttgart, 2010,</w:t>
      </w:r>
      <w:r w:rsidR="008033D6">
        <w:rPr>
          <w:rFonts w:cs="Cambria"/>
          <w:color w:val="FF0000"/>
        </w:rPr>
        <w:t xml:space="preserve"> </w:t>
      </w:r>
      <w:r w:rsidR="008033D6" w:rsidRPr="008033D6">
        <w:rPr>
          <w:rFonts w:cs="Cambria"/>
          <w:color w:val="auto"/>
        </w:rPr>
        <w:t>S. 307</w:t>
      </w:r>
      <w:r w:rsidR="00C3799C" w:rsidRPr="008033D6">
        <w:rPr>
          <w:rFonts w:cs="Cambria"/>
          <w:color w:val="auto"/>
        </w:rPr>
        <w:t>.</w:t>
      </w:r>
    </w:p>
    <w:p w14:paraId="01CB1034" w14:textId="259D4B11" w:rsidR="007C67A1" w:rsidRPr="001A3570" w:rsidRDefault="002F2A14" w:rsidP="001A3570">
      <w:pPr>
        <w:tabs>
          <w:tab w:val="left" w:pos="1980"/>
        </w:tabs>
        <w:ind w:left="1980" w:hanging="1980"/>
        <w:rPr>
          <w:rFonts w:asciiTheme="majorHAnsi" w:hAnsiTheme="majorHAnsi"/>
        </w:rPr>
      </w:pPr>
      <w:r>
        <w:pict w14:anchorId="69EBC866">
          <v:shape id="_x0000_s1196" type="#_x0000_t202" style="width:462.45pt;height:79.1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fillcolor="white [3201]" strokecolor="#c0504d [3205]" strokeweight="1pt">
            <v:stroke dashstyle="dash"/>
            <v:shadow color="#868686"/>
            <v:textbox style="mso-next-textbox:#_x0000_s1196">
              <w:txbxContent>
                <w:p w14:paraId="1573DA8F" w14:textId="19ED6B9C" w:rsidR="00D23EBD" w:rsidRPr="00F31EBF" w:rsidRDefault="00D23EBD" w:rsidP="00D23EBD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Fluorescein </w:t>
                  </w:r>
                  <w:r w:rsidR="009821CE">
                    <w:rPr>
                      <w:color w:val="auto"/>
                    </w:rPr>
                    <w:t>wird</w:t>
                  </w:r>
                  <w:r>
                    <w:rPr>
                      <w:color w:val="auto"/>
                    </w:rPr>
                    <w:t xml:space="preserve"> </w:t>
                  </w:r>
                  <w:r w:rsidR="009821CE">
                    <w:rPr>
                      <w:color w:val="auto"/>
                    </w:rPr>
                    <w:t>in vielen Produkten, wie z. B. Text</w:t>
                  </w:r>
                  <w:r w:rsidR="003D4BF8">
                    <w:rPr>
                      <w:color w:val="auto"/>
                    </w:rPr>
                    <w:t>m</w:t>
                  </w:r>
                  <w:r w:rsidR="009821CE">
                    <w:rPr>
                      <w:color w:val="auto"/>
                    </w:rPr>
                    <w:t xml:space="preserve">arkern, </w:t>
                  </w:r>
                  <w:r w:rsidR="00195794">
                    <w:rPr>
                      <w:color w:val="auto"/>
                    </w:rPr>
                    <w:t>T-Shirt-</w:t>
                  </w:r>
                  <w:r w:rsidR="009821CE">
                    <w:rPr>
                      <w:color w:val="auto"/>
                    </w:rPr>
                    <w:t>Aufschriften und Leuch</w:t>
                  </w:r>
                  <w:r w:rsidR="009821CE">
                    <w:rPr>
                      <w:color w:val="auto"/>
                    </w:rPr>
                    <w:t>t</w:t>
                  </w:r>
                  <w:r w:rsidR="009821CE">
                    <w:rPr>
                      <w:color w:val="auto"/>
                    </w:rPr>
                    <w:t xml:space="preserve">stickern </w:t>
                  </w:r>
                  <w:r>
                    <w:rPr>
                      <w:color w:val="auto"/>
                    </w:rPr>
                    <w:t xml:space="preserve">eingesetzt, außerdem findet es als Indikator Verwendung in der analytischen Chemie. </w:t>
                  </w:r>
                  <w:r w:rsidR="009821CE">
                    <w:rPr>
                      <w:color w:val="auto"/>
                    </w:rPr>
                    <w:t>Beim Zusetzen von</w:t>
                  </w:r>
                  <w:r w:rsidR="008033D6">
                    <w:rPr>
                      <w:color w:val="auto"/>
                    </w:rPr>
                    <w:t xml:space="preserve"> Natronlauge, wird die Fluoreszenz verstärkt, beim Zusetzen von Salzsäure wird sie geschwächt.</w:t>
                  </w:r>
                </w:p>
              </w:txbxContent>
            </v:textbox>
            <w10:wrap type="none"/>
            <w10:anchorlock/>
          </v:shape>
        </w:pict>
      </w:r>
    </w:p>
    <w:sectPr w:rsidR="007C67A1" w:rsidRPr="001A3570" w:rsidSect="005B0270">
      <w:headerReference w:type="default" r:id="rId36"/>
      <w:footerReference w:type="default" r:id="rId37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B9CE0" w14:textId="77777777" w:rsidR="002F2A14" w:rsidRDefault="002F2A14" w:rsidP="0086227B">
      <w:pPr>
        <w:spacing w:after="0" w:line="240" w:lineRule="auto"/>
      </w:pPr>
      <w:r>
        <w:separator/>
      </w:r>
    </w:p>
  </w:endnote>
  <w:endnote w:type="continuationSeparator" w:id="0">
    <w:p w14:paraId="3B5ED563" w14:textId="77777777" w:rsidR="002F2A14" w:rsidRDefault="002F2A14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7C261" w14:textId="4FD2E85B" w:rsidR="00D22043" w:rsidRDefault="00D22043">
    <w:pPr>
      <w:pStyle w:val="Fuzeile"/>
      <w:jc w:val="right"/>
    </w:pPr>
  </w:p>
  <w:p w14:paraId="7FA02C49" w14:textId="77777777" w:rsidR="00D22043" w:rsidRDefault="00D220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CDCC9" w14:textId="77777777" w:rsidR="002F2A14" w:rsidRDefault="002F2A14" w:rsidP="0086227B">
      <w:pPr>
        <w:spacing w:after="0" w:line="240" w:lineRule="auto"/>
      </w:pPr>
      <w:r>
        <w:separator/>
      </w:r>
    </w:p>
  </w:footnote>
  <w:footnote w:type="continuationSeparator" w:id="0">
    <w:p w14:paraId="69F65940" w14:textId="77777777" w:rsidR="002F2A14" w:rsidRDefault="002F2A14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14:paraId="0BFEC623" w14:textId="77777777" w:rsidR="00D22043" w:rsidRPr="0080101C" w:rsidRDefault="007A21A8" w:rsidP="002E3457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946FA3" w:rsidRPr="00946FA3">
            <w:rPr>
              <w:b/>
              <w:bCs/>
              <w:noProof/>
              <w:sz w:val="20"/>
            </w:rPr>
            <w:t>1</w:t>
          </w:r>
        </w:fldSimple>
        <w:r w:rsidR="00D22043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946FA3">
            <w:rPr>
              <w:noProof/>
            </w:rPr>
            <w:t>Weitere Lehrerversuche</w:t>
          </w:r>
        </w:fldSimple>
        <w:r w:rsidR="00D22043" w:rsidRPr="0080101C">
          <w:rPr>
            <w:rFonts w:asciiTheme="majorHAnsi" w:hAnsiTheme="majorHAnsi"/>
            <w:sz w:val="20"/>
            <w:szCs w:val="20"/>
          </w:rPr>
          <w:tab/>
        </w:r>
        <w:r w:rsidR="00D22043" w:rsidRPr="0080101C">
          <w:rPr>
            <w:rFonts w:asciiTheme="majorHAnsi" w:hAnsiTheme="majorHAnsi"/>
            <w:sz w:val="20"/>
            <w:szCs w:val="20"/>
          </w:rPr>
          <w:tab/>
        </w:r>
        <w:r w:rsidR="00D22043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1EB43647" w14:textId="77777777" w:rsidR="00D22043" w:rsidRPr="0080101C" w:rsidRDefault="002F2A14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 w14:anchorId="3B81E9C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27B"/>
    <w:rsid w:val="00000B75"/>
    <w:rsid w:val="00001E6C"/>
    <w:rsid w:val="00007E3F"/>
    <w:rsid w:val="00011800"/>
    <w:rsid w:val="000137A3"/>
    <w:rsid w:val="00014E7D"/>
    <w:rsid w:val="00022871"/>
    <w:rsid w:val="00026EBC"/>
    <w:rsid w:val="00033C30"/>
    <w:rsid w:val="000345E5"/>
    <w:rsid w:val="00041562"/>
    <w:rsid w:val="00043C95"/>
    <w:rsid w:val="00056798"/>
    <w:rsid w:val="0006287D"/>
    <w:rsid w:val="00064A79"/>
    <w:rsid w:val="0006684E"/>
    <w:rsid w:val="00066DE1"/>
    <w:rsid w:val="00067AEC"/>
    <w:rsid w:val="00071021"/>
    <w:rsid w:val="00072812"/>
    <w:rsid w:val="00074A34"/>
    <w:rsid w:val="0007729E"/>
    <w:rsid w:val="000853EA"/>
    <w:rsid w:val="00092D80"/>
    <w:rsid w:val="000972FF"/>
    <w:rsid w:val="000B0523"/>
    <w:rsid w:val="000B3831"/>
    <w:rsid w:val="000B6239"/>
    <w:rsid w:val="000C0AD6"/>
    <w:rsid w:val="000C1509"/>
    <w:rsid w:val="000C4EB4"/>
    <w:rsid w:val="000D0507"/>
    <w:rsid w:val="000D10FB"/>
    <w:rsid w:val="000D2C37"/>
    <w:rsid w:val="000D43DF"/>
    <w:rsid w:val="000D7381"/>
    <w:rsid w:val="000E0EBE"/>
    <w:rsid w:val="000E1148"/>
    <w:rsid w:val="000E21A7"/>
    <w:rsid w:val="000E5877"/>
    <w:rsid w:val="000E7DB1"/>
    <w:rsid w:val="000F39E9"/>
    <w:rsid w:val="000F5EEC"/>
    <w:rsid w:val="001022B4"/>
    <w:rsid w:val="00117150"/>
    <w:rsid w:val="001203DB"/>
    <w:rsid w:val="0012481E"/>
    <w:rsid w:val="001259CC"/>
    <w:rsid w:val="00125CEA"/>
    <w:rsid w:val="0013221E"/>
    <w:rsid w:val="0013621E"/>
    <w:rsid w:val="00137964"/>
    <w:rsid w:val="00141667"/>
    <w:rsid w:val="00142C34"/>
    <w:rsid w:val="001434EE"/>
    <w:rsid w:val="001466E8"/>
    <w:rsid w:val="00146AA5"/>
    <w:rsid w:val="00147AF2"/>
    <w:rsid w:val="001501EF"/>
    <w:rsid w:val="00153EA8"/>
    <w:rsid w:val="00157F3D"/>
    <w:rsid w:val="001741D0"/>
    <w:rsid w:val="00195794"/>
    <w:rsid w:val="00197C50"/>
    <w:rsid w:val="001A3570"/>
    <w:rsid w:val="001A7524"/>
    <w:rsid w:val="001B3535"/>
    <w:rsid w:val="001B46E0"/>
    <w:rsid w:val="001C076E"/>
    <w:rsid w:val="001C3F5C"/>
    <w:rsid w:val="001C5EFC"/>
    <w:rsid w:val="001C6C31"/>
    <w:rsid w:val="001D0CFC"/>
    <w:rsid w:val="001D5193"/>
    <w:rsid w:val="001D6070"/>
    <w:rsid w:val="001F2354"/>
    <w:rsid w:val="001F27A9"/>
    <w:rsid w:val="001F7586"/>
    <w:rsid w:val="002022DA"/>
    <w:rsid w:val="002029D6"/>
    <w:rsid w:val="002054B3"/>
    <w:rsid w:val="00206D6B"/>
    <w:rsid w:val="00216E3C"/>
    <w:rsid w:val="0022250E"/>
    <w:rsid w:val="00223EC7"/>
    <w:rsid w:val="00225B0A"/>
    <w:rsid w:val="0023241F"/>
    <w:rsid w:val="002347FE"/>
    <w:rsid w:val="002375EF"/>
    <w:rsid w:val="00240E0D"/>
    <w:rsid w:val="00242C86"/>
    <w:rsid w:val="00254F3F"/>
    <w:rsid w:val="00264578"/>
    <w:rsid w:val="002647CF"/>
    <w:rsid w:val="00270289"/>
    <w:rsid w:val="00276DFA"/>
    <w:rsid w:val="0028080E"/>
    <w:rsid w:val="0028646F"/>
    <w:rsid w:val="00287A8D"/>
    <w:rsid w:val="00290E2A"/>
    <w:rsid w:val="00291636"/>
    <w:rsid w:val="002944CF"/>
    <w:rsid w:val="002A055E"/>
    <w:rsid w:val="002A3A65"/>
    <w:rsid w:val="002A716F"/>
    <w:rsid w:val="002A7855"/>
    <w:rsid w:val="002B0B14"/>
    <w:rsid w:val="002C67C3"/>
    <w:rsid w:val="002D2076"/>
    <w:rsid w:val="002E0F34"/>
    <w:rsid w:val="002E2DD3"/>
    <w:rsid w:val="002E2F44"/>
    <w:rsid w:val="002E3457"/>
    <w:rsid w:val="002E38A0"/>
    <w:rsid w:val="002E473E"/>
    <w:rsid w:val="002E4C23"/>
    <w:rsid w:val="002E4DDA"/>
    <w:rsid w:val="002E4E4C"/>
    <w:rsid w:val="002E5FCC"/>
    <w:rsid w:val="002E63DB"/>
    <w:rsid w:val="002F22C7"/>
    <w:rsid w:val="002F25D2"/>
    <w:rsid w:val="002F2A14"/>
    <w:rsid w:val="002F38EE"/>
    <w:rsid w:val="0032460F"/>
    <w:rsid w:val="003330A5"/>
    <w:rsid w:val="0033623B"/>
    <w:rsid w:val="0033677B"/>
    <w:rsid w:val="00336B3B"/>
    <w:rsid w:val="00337B69"/>
    <w:rsid w:val="00344BB7"/>
    <w:rsid w:val="00345293"/>
    <w:rsid w:val="00345F54"/>
    <w:rsid w:val="0035103B"/>
    <w:rsid w:val="00370694"/>
    <w:rsid w:val="0037091A"/>
    <w:rsid w:val="003716E6"/>
    <w:rsid w:val="003721B9"/>
    <w:rsid w:val="0038284A"/>
    <w:rsid w:val="003837C2"/>
    <w:rsid w:val="00384682"/>
    <w:rsid w:val="003A323B"/>
    <w:rsid w:val="003A5A8E"/>
    <w:rsid w:val="003A71A4"/>
    <w:rsid w:val="003A7CC7"/>
    <w:rsid w:val="003B49C6"/>
    <w:rsid w:val="003B6BDA"/>
    <w:rsid w:val="003C27D1"/>
    <w:rsid w:val="003C2EB2"/>
    <w:rsid w:val="003C5747"/>
    <w:rsid w:val="003C7652"/>
    <w:rsid w:val="003D3C9A"/>
    <w:rsid w:val="003D4BF8"/>
    <w:rsid w:val="003D529E"/>
    <w:rsid w:val="003D7D26"/>
    <w:rsid w:val="003E2478"/>
    <w:rsid w:val="003E40EE"/>
    <w:rsid w:val="003E5929"/>
    <w:rsid w:val="003E69AB"/>
    <w:rsid w:val="003F114A"/>
    <w:rsid w:val="003F29D4"/>
    <w:rsid w:val="003F79E6"/>
    <w:rsid w:val="00401750"/>
    <w:rsid w:val="004049F5"/>
    <w:rsid w:val="0040589E"/>
    <w:rsid w:val="00410126"/>
    <w:rsid w:val="004102B8"/>
    <w:rsid w:val="0041565C"/>
    <w:rsid w:val="00420E95"/>
    <w:rsid w:val="00422340"/>
    <w:rsid w:val="00422393"/>
    <w:rsid w:val="00433F51"/>
    <w:rsid w:val="004343B6"/>
    <w:rsid w:val="00434D4E"/>
    <w:rsid w:val="00434F30"/>
    <w:rsid w:val="00442EB1"/>
    <w:rsid w:val="004448B3"/>
    <w:rsid w:val="0044498D"/>
    <w:rsid w:val="0045325C"/>
    <w:rsid w:val="00462FC0"/>
    <w:rsid w:val="00463016"/>
    <w:rsid w:val="00472B53"/>
    <w:rsid w:val="004731F7"/>
    <w:rsid w:val="00483CD2"/>
    <w:rsid w:val="00484961"/>
    <w:rsid w:val="00486C9F"/>
    <w:rsid w:val="0049087A"/>
    <w:rsid w:val="00491331"/>
    <w:rsid w:val="004923DE"/>
    <w:rsid w:val="00492FE2"/>
    <w:rsid w:val="004944F3"/>
    <w:rsid w:val="004A1874"/>
    <w:rsid w:val="004B200E"/>
    <w:rsid w:val="004B3E0E"/>
    <w:rsid w:val="004B6D5C"/>
    <w:rsid w:val="004C64A6"/>
    <w:rsid w:val="004D2994"/>
    <w:rsid w:val="004D321A"/>
    <w:rsid w:val="004D46E7"/>
    <w:rsid w:val="004F1A17"/>
    <w:rsid w:val="004F593C"/>
    <w:rsid w:val="00503C6A"/>
    <w:rsid w:val="005115B1"/>
    <w:rsid w:val="00511B2E"/>
    <w:rsid w:val="005131C3"/>
    <w:rsid w:val="00513A2E"/>
    <w:rsid w:val="00517EB5"/>
    <w:rsid w:val="005228A9"/>
    <w:rsid w:val="005240FE"/>
    <w:rsid w:val="00526572"/>
    <w:rsid w:val="00526F69"/>
    <w:rsid w:val="00530A18"/>
    <w:rsid w:val="00532CD5"/>
    <w:rsid w:val="00544922"/>
    <w:rsid w:val="005650D4"/>
    <w:rsid w:val="005669B2"/>
    <w:rsid w:val="00570013"/>
    <w:rsid w:val="00573704"/>
    <w:rsid w:val="00574063"/>
    <w:rsid w:val="005745F8"/>
    <w:rsid w:val="0057596C"/>
    <w:rsid w:val="00576C62"/>
    <w:rsid w:val="0058285D"/>
    <w:rsid w:val="005901B2"/>
    <w:rsid w:val="00590754"/>
    <w:rsid w:val="00591B02"/>
    <w:rsid w:val="00595177"/>
    <w:rsid w:val="005978FA"/>
    <w:rsid w:val="005A2E89"/>
    <w:rsid w:val="005A44FB"/>
    <w:rsid w:val="005B0270"/>
    <w:rsid w:val="005B1F71"/>
    <w:rsid w:val="005B23FC"/>
    <w:rsid w:val="005B60E3"/>
    <w:rsid w:val="005C3716"/>
    <w:rsid w:val="005C6834"/>
    <w:rsid w:val="005D51BA"/>
    <w:rsid w:val="005D5F9D"/>
    <w:rsid w:val="005E1939"/>
    <w:rsid w:val="005E3970"/>
    <w:rsid w:val="005F0DA4"/>
    <w:rsid w:val="005F0DDC"/>
    <w:rsid w:val="005F2176"/>
    <w:rsid w:val="0060683E"/>
    <w:rsid w:val="0061248A"/>
    <w:rsid w:val="0061257E"/>
    <w:rsid w:val="006225C6"/>
    <w:rsid w:val="00626874"/>
    <w:rsid w:val="00631F0F"/>
    <w:rsid w:val="006324DB"/>
    <w:rsid w:val="00637239"/>
    <w:rsid w:val="00642C32"/>
    <w:rsid w:val="0064408F"/>
    <w:rsid w:val="00654117"/>
    <w:rsid w:val="0066306C"/>
    <w:rsid w:val="00667015"/>
    <w:rsid w:val="006715D3"/>
    <w:rsid w:val="00672281"/>
    <w:rsid w:val="00681739"/>
    <w:rsid w:val="00682829"/>
    <w:rsid w:val="00683055"/>
    <w:rsid w:val="00683B98"/>
    <w:rsid w:val="00690534"/>
    <w:rsid w:val="006913C5"/>
    <w:rsid w:val="006943C9"/>
    <w:rsid w:val="00695022"/>
    <w:rsid w:val="006968E6"/>
    <w:rsid w:val="006A0F35"/>
    <w:rsid w:val="006A5DD2"/>
    <w:rsid w:val="006B13B0"/>
    <w:rsid w:val="006B3EC2"/>
    <w:rsid w:val="006C5B0D"/>
    <w:rsid w:val="006C5E6E"/>
    <w:rsid w:val="006C7B24"/>
    <w:rsid w:val="006D30EA"/>
    <w:rsid w:val="006D64E3"/>
    <w:rsid w:val="006E32A6"/>
    <w:rsid w:val="006E32AF"/>
    <w:rsid w:val="006E3462"/>
    <w:rsid w:val="006E451C"/>
    <w:rsid w:val="006E73D7"/>
    <w:rsid w:val="006F40F7"/>
    <w:rsid w:val="006F4715"/>
    <w:rsid w:val="00704483"/>
    <w:rsid w:val="00707392"/>
    <w:rsid w:val="0072123D"/>
    <w:rsid w:val="007227F9"/>
    <w:rsid w:val="0072675B"/>
    <w:rsid w:val="0072720D"/>
    <w:rsid w:val="00736649"/>
    <w:rsid w:val="007375BF"/>
    <w:rsid w:val="00742322"/>
    <w:rsid w:val="00746773"/>
    <w:rsid w:val="00752EEC"/>
    <w:rsid w:val="00754273"/>
    <w:rsid w:val="00760FB3"/>
    <w:rsid w:val="00774224"/>
    <w:rsid w:val="00775EEC"/>
    <w:rsid w:val="00777A84"/>
    <w:rsid w:val="0078071E"/>
    <w:rsid w:val="00787D08"/>
    <w:rsid w:val="00790D3B"/>
    <w:rsid w:val="00793F3C"/>
    <w:rsid w:val="007A21A8"/>
    <w:rsid w:val="007A511C"/>
    <w:rsid w:val="007A5943"/>
    <w:rsid w:val="007A7FA8"/>
    <w:rsid w:val="007B57ED"/>
    <w:rsid w:val="007C67A1"/>
    <w:rsid w:val="007E46F9"/>
    <w:rsid w:val="007E586C"/>
    <w:rsid w:val="007E7412"/>
    <w:rsid w:val="007F2348"/>
    <w:rsid w:val="00801678"/>
    <w:rsid w:val="008021EA"/>
    <w:rsid w:val="008033D6"/>
    <w:rsid w:val="008042F5"/>
    <w:rsid w:val="00806301"/>
    <w:rsid w:val="0081213A"/>
    <w:rsid w:val="00815FB9"/>
    <w:rsid w:val="00820523"/>
    <w:rsid w:val="00820759"/>
    <w:rsid w:val="0082230A"/>
    <w:rsid w:val="00823572"/>
    <w:rsid w:val="00826E3A"/>
    <w:rsid w:val="00834B27"/>
    <w:rsid w:val="00837114"/>
    <w:rsid w:val="00840BD8"/>
    <w:rsid w:val="00840E07"/>
    <w:rsid w:val="00843645"/>
    <w:rsid w:val="00844031"/>
    <w:rsid w:val="0085287E"/>
    <w:rsid w:val="00852FDF"/>
    <w:rsid w:val="00853655"/>
    <w:rsid w:val="008571EB"/>
    <w:rsid w:val="0086227B"/>
    <w:rsid w:val="008664DF"/>
    <w:rsid w:val="00875E5B"/>
    <w:rsid w:val="0088451A"/>
    <w:rsid w:val="00886EE0"/>
    <w:rsid w:val="00896D5A"/>
    <w:rsid w:val="00896DF6"/>
    <w:rsid w:val="008A553F"/>
    <w:rsid w:val="008A5CAB"/>
    <w:rsid w:val="008A5D98"/>
    <w:rsid w:val="008B5C95"/>
    <w:rsid w:val="008B7FD6"/>
    <w:rsid w:val="008C34B3"/>
    <w:rsid w:val="008C71EE"/>
    <w:rsid w:val="008D0ED5"/>
    <w:rsid w:val="008D0ED6"/>
    <w:rsid w:val="008D67B2"/>
    <w:rsid w:val="008E12F8"/>
    <w:rsid w:val="008E1A25"/>
    <w:rsid w:val="008E31C1"/>
    <w:rsid w:val="008E345D"/>
    <w:rsid w:val="008F11DF"/>
    <w:rsid w:val="008F2CEF"/>
    <w:rsid w:val="00900B02"/>
    <w:rsid w:val="00905459"/>
    <w:rsid w:val="00913D97"/>
    <w:rsid w:val="009208A8"/>
    <w:rsid w:val="009257AD"/>
    <w:rsid w:val="00936F75"/>
    <w:rsid w:val="0094212B"/>
    <w:rsid w:val="0094350A"/>
    <w:rsid w:val="009441FC"/>
    <w:rsid w:val="00946F4E"/>
    <w:rsid w:val="00946FA3"/>
    <w:rsid w:val="009507F9"/>
    <w:rsid w:val="00954300"/>
    <w:rsid w:val="00954DC8"/>
    <w:rsid w:val="00961647"/>
    <w:rsid w:val="00965038"/>
    <w:rsid w:val="00971E91"/>
    <w:rsid w:val="009735A3"/>
    <w:rsid w:val="00973F3F"/>
    <w:rsid w:val="009745DD"/>
    <w:rsid w:val="009775D7"/>
    <w:rsid w:val="0097788A"/>
    <w:rsid w:val="00977ED8"/>
    <w:rsid w:val="00981430"/>
    <w:rsid w:val="0098168E"/>
    <w:rsid w:val="009821CE"/>
    <w:rsid w:val="00983CD8"/>
    <w:rsid w:val="00984EF9"/>
    <w:rsid w:val="00993407"/>
    <w:rsid w:val="00994634"/>
    <w:rsid w:val="009A6BEB"/>
    <w:rsid w:val="009B0D3F"/>
    <w:rsid w:val="009C5AA4"/>
    <w:rsid w:val="009C6F21"/>
    <w:rsid w:val="009C7687"/>
    <w:rsid w:val="009D0554"/>
    <w:rsid w:val="009D150C"/>
    <w:rsid w:val="009D4BD9"/>
    <w:rsid w:val="009E0BA4"/>
    <w:rsid w:val="009E1F1B"/>
    <w:rsid w:val="009E3F50"/>
    <w:rsid w:val="009E408B"/>
    <w:rsid w:val="009F0667"/>
    <w:rsid w:val="009F0CE9"/>
    <w:rsid w:val="009F128D"/>
    <w:rsid w:val="009F584E"/>
    <w:rsid w:val="009F5A39"/>
    <w:rsid w:val="009F61D4"/>
    <w:rsid w:val="00A006C3"/>
    <w:rsid w:val="00A012CE"/>
    <w:rsid w:val="00A0582F"/>
    <w:rsid w:val="00A05C2F"/>
    <w:rsid w:val="00A11039"/>
    <w:rsid w:val="00A11502"/>
    <w:rsid w:val="00A1708F"/>
    <w:rsid w:val="00A2136F"/>
    <w:rsid w:val="00A2301A"/>
    <w:rsid w:val="00A35147"/>
    <w:rsid w:val="00A37E50"/>
    <w:rsid w:val="00A51040"/>
    <w:rsid w:val="00A61671"/>
    <w:rsid w:val="00A64213"/>
    <w:rsid w:val="00A64B36"/>
    <w:rsid w:val="00A7251B"/>
    <w:rsid w:val="00A7439F"/>
    <w:rsid w:val="00A75F0A"/>
    <w:rsid w:val="00A76CB1"/>
    <w:rsid w:val="00A777E7"/>
    <w:rsid w:val="00A778C9"/>
    <w:rsid w:val="00A80FB8"/>
    <w:rsid w:val="00A86AB5"/>
    <w:rsid w:val="00A90BD6"/>
    <w:rsid w:val="00A9233D"/>
    <w:rsid w:val="00A96F52"/>
    <w:rsid w:val="00A97C4B"/>
    <w:rsid w:val="00AA604B"/>
    <w:rsid w:val="00AA6125"/>
    <w:rsid w:val="00AA612B"/>
    <w:rsid w:val="00AB4010"/>
    <w:rsid w:val="00AC42DC"/>
    <w:rsid w:val="00AD0C24"/>
    <w:rsid w:val="00AD482E"/>
    <w:rsid w:val="00AD7D1F"/>
    <w:rsid w:val="00AE1230"/>
    <w:rsid w:val="00AE1E8D"/>
    <w:rsid w:val="00AE62E0"/>
    <w:rsid w:val="00AF15B3"/>
    <w:rsid w:val="00AF197D"/>
    <w:rsid w:val="00B02829"/>
    <w:rsid w:val="00B03947"/>
    <w:rsid w:val="00B06C68"/>
    <w:rsid w:val="00B06FC4"/>
    <w:rsid w:val="00B14E69"/>
    <w:rsid w:val="00B20FD0"/>
    <w:rsid w:val="00B21F20"/>
    <w:rsid w:val="00B32018"/>
    <w:rsid w:val="00B433C0"/>
    <w:rsid w:val="00B474D8"/>
    <w:rsid w:val="00B51643"/>
    <w:rsid w:val="00B51B39"/>
    <w:rsid w:val="00B571E6"/>
    <w:rsid w:val="00B619BB"/>
    <w:rsid w:val="00B901F6"/>
    <w:rsid w:val="00B93BBF"/>
    <w:rsid w:val="00B96C3C"/>
    <w:rsid w:val="00B97BF0"/>
    <w:rsid w:val="00BA0E9B"/>
    <w:rsid w:val="00BB5F32"/>
    <w:rsid w:val="00BB6806"/>
    <w:rsid w:val="00BB765E"/>
    <w:rsid w:val="00BC0AF0"/>
    <w:rsid w:val="00BC4F56"/>
    <w:rsid w:val="00BD1D31"/>
    <w:rsid w:val="00BE4FB1"/>
    <w:rsid w:val="00BF2E3A"/>
    <w:rsid w:val="00BF4819"/>
    <w:rsid w:val="00BF7766"/>
    <w:rsid w:val="00BF7B08"/>
    <w:rsid w:val="00C03A3E"/>
    <w:rsid w:val="00C0569E"/>
    <w:rsid w:val="00C10E22"/>
    <w:rsid w:val="00C12650"/>
    <w:rsid w:val="00C14CCB"/>
    <w:rsid w:val="00C23319"/>
    <w:rsid w:val="00C3118E"/>
    <w:rsid w:val="00C364B2"/>
    <w:rsid w:val="00C37680"/>
    <w:rsid w:val="00C3799C"/>
    <w:rsid w:val="00C4111D"/>
    <w:rsid w:val="00C428C7"/>
    <w:rsid w:val="00C42C9D"/>
    <w:rsid w:val="00C460EB"/>
    <w:rsid w:val="00C51D56"/>
    <w:rsid w:val="00C52795"/>
    <w:rsid w:val="00C57110"/>
    <w:rsid w:val="00C66D91"/>
    <w:rsid w:val="00C771B7"/>
    <w:rsid w:val="00C805FD"/>
    <w:rsid w:val="00C8300C"/>
    <w:rsid w:val="00C83763"/>
    <w:rsid w:val="00CA1920"/>
    <w:rsid w:val="00CA5554"/>
    <w:rsid w:val="00CA6231"/>
    <w:rsid w:val="00CB1DE1"/>
    <w:rsid w:val="00CB2161"/>
    <w:rsid w:val="00CB66F0"/>
    <w:rsid w:val="00CB732C"/>
    <w:rsid w:val="00CB7F29"/>
    <w:rsid w:val="00CC6E4A"/>
    <w:rsid w:val="00CD56BF"/>
    <w:rsid w:val="00CE08EA"/>
    <w:rsid w:val="00CE1F14"/>
    <w:rsid w:val="00CF0B61"/>
    <w:rsid w:val="00CF1E9B"/>
    <w:rsid w:val="00CF2BEC"/>
    <w:rsid w:val="00CF79FE"/>
    <w:rsid w:val="00D01556"/>
    <w:rsid w:val="00D069A2"/>
    <w:rsid w:val="00D10F0C"/>
    <w:rsid w:val="00D1194E"/>
    <w:rsid w:val="00D22043"/>
    <w:rsid w:val="00D22C35"/>
    <w:rsid w:val="00D23EBD"/>
    <w:rsid w:val="00D320CF"/>
    <w:rsid w:val="00D407E8"/>
    <w:rsid w:val="00D47B50"/>
    <w:rsid w:val="00D54590"/>
    <w:rsid w:val="00D55A9C"/>
    <w:rsid w:val="00D56596"/>
    <w:rsid w:val="00D60010"/>
    <w:rsid w:val="00D639C9"/>
    <w:rsid w:val="00D65A21"/>
    <w:rsid w:val="00D67F92"/>
    <w:rsid w:val="00D76EE6"/>
    <w:rsid w:val="00D76F6F"/>
    <w:rsid w:val="00D85B72"/>
    <w:rsid w:val="00D90F31"/>
    <w:rsid w:val="00D92822"/>
    <w:rsid w:val="00D95E77"/>
    <w:rsid w:val="00DA3CA7"/>
    <w:rsid w:val="00DA6545"/>
    <w:rsid w:val="00DA6B1D"/>
    <w:rsid w:val="00DB252E"/>
    <w:rsid w:val="00DC0309"/>
    <w:rsid w:val="00DC1317"/>
    <w:rsid w:val="00DC749C"/>
    <w:rsid w:val="00DC7E86"/>
    <w:rsid w:val="00DD7E65"/>
    <w:rsid w:val="00DE18A7"/>
    <w:rsid w:val="00DE3C16"/>
    <w:rsid w:val="00E144C0"/>
    <w:rsid w:val="00E17CDE"/>
    <w:rsid w:val="00E21629"/>
    <w:rsid w:val="00E22516"/>
    <w:rsid w:val="00E22D23"/>
    <w:rsid w:val="00E23BEF"/>
    <w:rsid w:val="00E24354"/>
    <w:rsid w:val="00E26180"/>
    <w:rsid w:val="00E30EFA"/>
    <w:rsid w:val="00E33AA9"/>
    <w:rsid w:val="00E3464C"/>
    <w:rsid w:val="00E42701"/>
    <w:rsid w:val="00E45FEC"/>
    <w:rsid w:val="00E47916"/>
    <w:rsid w:val="00E51037"/>
    <w:rsid w:val="00E52685"/>
    <w:rsid w:val="00E54798"/>
    <w:rsid w:val="00E84393"/>
    <w:rsid w:val="00E866D8"/>
    <w:rsid w:val="00E91F32"/>
    <w:rsid w:val="00E94245"/>
    <w:rsid w:val="00E96AD6"/>
    <w:rsid w:val="00EA3BA0"/>
    <w:rsid w:val="00EB3DFE"/>
    <w:rsid w:val="00EB3EA7"/>
    <w:rsid w:val="00EB4877"/>
    <w:rsid w:val="00EB581A"/>
    <w:rsid w:val="00EB6DB7"/>
    <w:rsid w:val="00EC235A"/>
    <w:rsid w:val="00EC7181"/>
    <w:rsid w:val="00ED07C2"/>
    <w:rsid w:val="00ED1F5D"/>
    <w:rsid w:val="00ED45C3"/>
    <w:rsid w:val="00EE1296"/>
    <w:rsid w:val="00EE1EFF"/>
    <w:rsid w:val="00EE422F"/>
    <w:rsid w:val="00EE79E0"/>
    <w:rsid w:val="00EF149B"/>
    <w:rsid w:val="00EF161C"/>
    <w:rsid w:val="00EF5038"/>
    <w:rsid w:val="00EF5479"/>
    <w:rsid w:val="00F02245"/>
    <w:rsid w:val="00F119B9"/>
    <w:rsid w:val="00F12AC9"/>
    <w:rsid w:val="00F15346"/>
    <w:rsid w:val="00F1627F"/>
    <w:rsid w:val="00F17765"/>
    <w:rsid w:val="00F17797"/>
    <w:rsid w:val="00F20102"/>
    <w:rsid w:val="00F2604C"/>
    <w:rsid w:val="00F26486"/>
    <w:rsid w:val="00F31EBF"/>
    <w:rsid w:val="00F339C2"/>
    <w:rsid w:val="00F3487A"/>
    <w:rsid w:val="00F40EDA"/>
    <w:rsid w:val="00F466DC"/>
    <w:rsid w:val="00F5699D"/>
    <w:rsid w:val="00F6379C"/>
    <w:rsid w:val="00F66CB4"/>
    <w:rsid w:val="00F74A95"/>
    <w:rsid w:val="00F849B0"/>
    <w:rsid w:val="00F94D27"/>
    <w:rsid w:val="00F9624A"/>
    <w:rsid w:val="00FA486B"/>
    <w:rsid w:val="00FA58C5"/>
    <w:rsid w:val="00FA68FD"/>
    <w:rsid w:val="00FB3D74"/>
    <w:rsid w:val="00FB56EE"/>
    <w:rsid w:val="00FB5735"/>
    <w:rsid w:val="00FC02BE"/>
    <w:rsid w:val="00FC15C8"/>
    <w:rsid w:val="00FC2BD5"/>
    <w:rsid w:val="00FD5BB9"/>
    <w:rsid w:val="00FD644E"/>
    <w:rsid w:val="00FE54D8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  <o:rules v:ext="edit">
        <o:r id="V:Rule1" type="connector" idref="#_x0000_s1153"/>
        <o:r id="V:Rule2" type="connector" idref="#_x0000_s1154"/>
      </o:rules>
    </o:shapelayout>
  </w:shapeDefaults>
  <w:decimalSymbol w:val=","/>
  <w:listSeparator w:val=";"/>
  <w14:docId w14:val="3D0B4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72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yperlink" Target="https://de.wikipedia.org/wiki/H-_und_P-S%C3%A4tz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15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s://de.wikipedia.org/wiki/H-_und_P-S%C3%A4tze" TargetMode="External"/><Relationship Id="rId33" Type="http://schemas.openxmlformats.org/officeDocument/2006/relationships/hyperlink" Target="https://de.wikipedia.org/wiki/H-_und_P-S%C3%A4tz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hyperlink" Target="https://de.wikipedia.org/wiki/H-_und_P-S%C3%A4tz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de.wikipedia.org/wiki/H-_und_P-S%C3%A4tze" TargetMode="External"/><Relationship Id="rId32" Type="http://schemas.openxmlformats.org/officeDocument/2006/relationships/hyperlink" Target="https://de.wikipedia.org/wiki/H-_und_P-S%C3%A4tze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1.bin"/><Relationship Id="rId28" Type="http://schemas.openxmlformats.org/officeDocument/2006/relationships/hyperlink" Target="https://de.wikipedia.org/wiki/H-_und_P-S%C3%A4tze" TargetMode="External"/><Relationship Id="rId36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s://de.wikipedia.org/wiki/H-_und_P-S%C3%A4tz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emf"/><Relationship Id="rId27" Type="http://schemas.openxmlformats.org/officeDocument/2006/relationships/hyperlink" Target="https://de.wikipedia.org/wiki/H-_und_P-S%C3%A4tze" TargetMode="External"/><Relationship Id="rId30" Type="http://schemas.openxmlformats.org/officeDocument/2006/relationships/hyperlink" Target="https://de.wikipedia.org/wiki/H-_und_P-S%C3%A4tze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8F2EDA02-839A-4F38-924B-3D0B49D3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Isabel</cp:lastModifiedBy>
  <cp:revision>237</cp:revision>
  <cp:lastPrinted>2015-08-21T09:53:00Z</cp:lastPrinted>
  <dcterms:created xsi:type="dcterms:W3CDTF">2015-07-28T08:50:00Z</dcterms:created>
  <dcterms:modified xsi:type="dcterms:W3CDTF">2015-08-21T09:54:00Z</dcterms:modified>
</cp:coreProperties>
</file>