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3E6" w:rsidRPr="00BD13E6" w:rsidRDefault="00BD13E6" w:rsidP="00BD13E6">
      <w:pPr>
        <w:rPr>
          <w:b/>
        </w:rPr>
      </w:pPr>
      <w:r w:rsidRPr="00BD13E6">
        <w:rPr>
          <w:b/>
        </w:rPr>
        <w:t>Oxidation von Glucose mit Brom</w:t>
      </w:r>
      <w:bookmarkStart w:id="0" w:name="_Toc425776595"/>
      <w:bookmarkEnd w:id="0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BD13E6" w:rsidRPr="009C5E28" w:rsidTr="00F354FA">
        <w:tc>
          <w:tcPr>
            <w:tcW w:w="9322" w:type="dxa"/>
            <w:gridSpan w:val="9"/>
            <w:shd w:val="clear" w:color="auto" w:fill="4F81BD"/>
            <w:vAlign w:val="center"/>
          </w:tcPr>
          <w:p w:rsidR="00BD13E6" w:rsidRPr="00F31EBF" w:rsidRDefault="00BD13E6" w:rsidP="00F354FA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BD13E6" w:rsidRPr="009C5E28" w:rsidTr="00F354F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D13E6" w:rsidRPr="00F6059E" w:rsidRDefault="00BD13E6" w:rsidP="00F354F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Brom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D13E6" w:rsidRPr="00F6059E" w:rsidRDefault="00BD13E6" w:rsidP="00F354FA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F6059E">
              <w:rPr>
                <w:sz w:val="20"/>
                <w:szCs w:val="20"/>
              </w:rPr>
              <w:t xml:space="preserve">H: </w:t>
            </w:r>
            <w:r>
              <w:rPr>
                <w:sz w:val="20"/>
                <w:szCs w:val="20"/>
              </w:rPr>
              <w:t>330-314-400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D13E6" w:rsidRPr="00F6059E" w:rsidRDefault="00BD13E6" w:rsidP="00F354FA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F6059E">
              <w:rPr>
                <w:sz w:val="20"/>
                <w:szCs w:val="20"/>
              </w:rPr>
              <w:t xml:space="preserve">P: </w:t>
            </w:r>
            <w:r>
              <w:rPr>
                <w:sz w:val="20"/>
                <w:szCs w:val="20"/>
              </w:rPr>
              <w:t>210-273-304+340-305+351+338-309+310-403+233</w:t>
            </w:r>
          </w:p>
        </w:tc>
      </w:tr>
      <w:tr w:rsidR="00BD13E6" w:rsidRPr="009C5E28" w:rsidTr="00F354F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D13E6" w:rsidRDefault="00BD13E6" w:rsidP="00F354FA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Natriumthiosulfat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Pentahydrat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D13E6" w:rsidRPr="00F6059E" w:rsidRDefault="00BD13E6" w:rsidP="00F354FA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D13E6" w:rsidRPr="00F6059E" w:rsidRDefault="00BD13E6" w:rsidP="00F354FA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13E6" w:rsidRPr="009C5E28" w:rsidTr="00F354F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D13E6" w:rsidRPr="00F6059E" w:rsidRDefault="00BD13E6" w:rsidP="00F354F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Glucose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D13E6" w:rsidRPr="00F6059E" w:rsidRDefault="00BD13E6" w:rsidP="00F354F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D13E6" w:rsidRPr="00F6059E" w:rsidRDefault="00BD13E6" w:rsidP="00F354F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13E6" w:rsidRPr="009C5E28" w:rsidTr="00F354F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D13E6" w:rsidRDefault="00BD13E6" w:rsidP="00F354F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Fructose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D13E6" w:rsidRDefault="00BD13E6" w:rsidP="00F354F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D13E6" w:rsidRDefault="00BD13E6" w:rsidP="00F354F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13E6" w:rsidRPr="009C5E28" w:rsidTr="00F354FA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D13E6" w:rsidRPr="009C5E28" w:rsidRDefault="00BD13E6" w:rsidP="00F354F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3" name="Bild 4" descr="C:\Users\Dennis Roggenkämper\Desktop\Gefahrensymbole\Piktogramme\Grau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nnis Roggenkämper\Desktop\Gefahrensymbole\Piktogramme\Grau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D13E6" w:rsidRPr="009C5E28" w:rsidRDefault="00BD13E6" w:rsidP="00F354F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6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D13E6" w:rsidRPr="009C5E28" w:rsidRDefault="00BD13E6" w:rsidP="00F354F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496" cy="503496"/>
                  <wp:effectExtent l="19050" t="0" r="0" b="0"/>
                  <wp:docPr id="7" name="Bild 3" descr="C:\Users\Dennis Roggenkämper\Desktop\Gefahrensymbole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nnis Roggenkämper\Desktop\Gefahrensymbole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496" cy="503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D13E6" w:rsidRPr="009C5E28" w:rsidRDefault="00BD13E6" w:rsidP="00F354F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D13E6" w:rsidRPr="009C5E28" w:rsidRDefault="00BD13E6" w:rsidP="00F354F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9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D13E6" w:rsidRPr="009C5E28" w:rsidRDefault="00BD13E6" w:rsidP="00F354F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10" name="Bild 2" descr="C:\Users\Dennis Roggenkämper\Desktop\Gefahrensymbole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nnis Roggenkämper\Desktop\Gefahrensymbole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D13E6" w:rsidRPr="009C5E28" w:rsidRDefault="00BD13E6" w:rsidP="00F354F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11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D13E6" w:rsidRPr="009C5E28" w:rsidRDefault="00BD13E6" w:rsidP="00F354F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13" name="Bild 5" descr="C:\Users\Dennis Roggenkämper\Desktop\Gefahrensymbole\Piktogramme\Grau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nnis Roggenkämper\Desktop\Gefahrensymbole\Piktogramme\Grau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D13E6" w:rsidRPr="009C5E28" w:rsidRDefault="00BD13E6" w:rsidP="00F354F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2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13E6" w:rsidRDefault="00BD13E6" w:rsidP="00BD13E6">
      <w:pPr>
        <w:tabs>
          <w:tab w:val="left" w:pos="1701"/>
          <w:tab w:val="left" w:pos="1985"/>
        </w:tabs>
        <w:ind w:left="1980" w:hanging="1980"/>
      </w:pPr>
    </w:p>
    <w:p w:rsidR="00BD13E6" w:rsidRDefault="00BD13E6" w:rsidP="00BD13E6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2 Reagenzgläser, Reagenzglasständer, 2 Stopfen, Pipette, Becherglas 500 mL, Spatel.</w:t>
      </w:r>
    </w:p>
    <w:p w:rsidR="00BD13E6" w:rsidRPr="00ED07C2" w:rsidRDefault="00BD13E6" w:rsidP="00BD13E6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 xml:space="preserve">Brom, </w:t>
      </w:r>
      <w:proofErr w:type="spellStart"/>
      <w:r>
        <w:t>Natriumthiosulfat</w:t>
      </w:r>
      <w:proofErr w:type="spellEnd"/>
      <w:r>
        <w:t>, Glucose, Fructose, destilliertes Wasser.</w:t>
      </w:r>
    </w:p>
    <w:p w:rsidR="00BD13E6" w:rsidRDefault="00BD13E6" w:rsidP="00BD13E6">
      <w:pPr>
        <w:tabs>
          <w:tab w:val="left" w:pos="1701"/>
          <w:tab w:val="left" w:pos="1985"/>
        </w:tabs>
        <w:ind w:left="1980" w:hanging="1980"/>
      </w:pPr>
      <w:r>
        <w:t>Durchführung:</w:t>
      </w:r>
      <w:r>
        <w:tab/>
      </w:r>
      <w:r>
        <w:tab/>
        <w:t xml:space="preserve">Eine </w:t>
      </w:r>
      <w:proofErr w:type="spellStart"/>
      <w:r>
        <w:t>Natriumthiosulfat</w:t>
      </w:r>
      <w:proofErr w:type="spellEnd"/>
      <w:r>
        <w:t>-Lösung wird angesetzt, indem in 500 mL destillie</w:t>
      </w:r>
      <w:r>
        <w:t>r</w:t>
      </w:r>
      <w:r>
        <w:t xml:space="preserve">tem Wasser 80 g </w:t>
      </w:r>
      <w:proofErr w:type="spellStart"/>
      <w:r>
        <w:t>Natriumthiosulfat</w:t>
      </w:r>
      <w:proofErr w:type="spellEnd"/>
      <w:r>
        <w:t xml:space="preserve"> gelöst werden. In zwei Reagenzgläser werden jeweils zwei </w:t>
      </w:r>
      <w:proofErr w:type="spellStart"/>
      <w:r>
        <w:t>Spatellöffel</w:t>
      </w:r>
      <w:proofErr w:type="spellEnd"/>
      <w:r>
        <w:t xml:space="preserve"> Glucose bzw. Fructose gegeben. Die Re</w:t>
      </w:r>
      <w:r>
        <w:t>a</w:t>
      </w:r>
      <w:r>
        <w:t>genzgläser werden zur Hälfte mit destilliertem Wasser gefüllt und danach gut geschüttelt, sodass die Zucker in Lösung gehen. Die beiden Lösungen werden mit je 5 Tropfen Brom versetzt.</w:t>
      </w:r>
    </w:p>
    <w:p w:rsidR="00BD13E6" w:rsidRDefault="00BD13E6" w:rsidP="00BD13E6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 xml:space="preserve">Die </w:t>
      </w:r>
      <w:proofErr w:type="spellStart"/>
      <w:r>
        <w:t>Glucoselösung</w:t>
      </w:r>
      <w:proofErr w:type="spellEnd"/>
      <w:r>
        <w:t xml:space="preserve"> wird zunächst gelblich (ca. 30 Min.) und entfärbt sich vollständig nach längerer Zeit. Die </w:t>
      </w:r>
      <w:proofErr w:type="spellStart"/>
      <w:r>
        <w:t>Fructoselösung</w:t>
      </w:r>
      <w:proofErr w:type="spellEnd"/>
      <w:r>
        <w:t xml:space="preserve"> bleibt orange/braun.</w:t>
      </w:r>
    </w:p>
    <w:p w:rsidR="00BD13E6" w:rsidRDefault="00BD13E6" w:rsidP="00BD13E6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>
            <wp:extent cx="1289465" cy="1192696"/>
            <wp:effectExtent l="19050" t="0" r="5935" b="0"/>
            <wp:docPr id="24" name="Bild 9" descr="C:\Users\Dennis Roggenkämper\AppData\Local\Microsoft\Windows\Temporary Internet Files\Content.Word\IMG_2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ennis Roggenkämper\AppData\Local\Microsoft\Windows\Temporary Internet Files\Content.Word\IMG_222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465" cy="1192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3E6" w:rsidRDefault="00BD13E6" w:rsidP="00BD13E6">
      <w:pPr>
        <w:pStyle w:val="Beschriftung"/>
        <w:spacing w:line="360" w:lineRule="auto"/>
        <w:jc w:val="center"/>
      </w:pPr>
      <w:r>
        <w:t xml:space="preserve">Abb. </w:t>
      </w:r>
      <w:fldSimple w:instr=" SEQ Abb. \* ARABIC ">
        <w:r>
          <w:rPr>
            <w:noProof/>
          </w:rPr>
          <w:t>1</w:t>
        </w:r>
      </w:fldSimple>
      <w:r>
        <w:t xml:space="preserve"> – </w:t>
      </w:r>
      <w:r>
        <w:rPr>
          <w:noProof/>
        </w:rPr>
        <w:t>Die Glucoselösung wird zunächst gelblich, dann farblos.</w:t>
      </w:r>
    </w:p>
    <w:p w:rsidR="00BD13E6" w:rsidRDefault="00BD13E6" w:rsidP="00BD13E6">
      <w:pPr>
        <w:tabs>
          <w:tab w:val="left" w:pos="1701"/>
          <w:tab w:val="left" w:pos="1985"/>
        </w:tabs>
        <w:ind w:left="1985" w:hanging="1985"/>
      </w:pPr>
      <w:r>
        <w:t>Deutung:</w:t>
      </w:r>
      <w:r>
        <w:tab/>
      </w:r>
      <w:r>
        <w:tab/>
        <w:t xml:space="preserve">Durch Brom wird die Aldehydgruppe der Glucose oxidiert, wodurch eine </w:t>
      </w:r>
      <w:proofErr w:type="spellStart"/>
      <w:r>
        <w:t>Aldonsäure</w:t>
      </w:r>
      <w:proofErr w:type="spellEnd"/>
      <w:r>
        <w:t xml:space="preserve"> entsteht. Aus </w:t>
      </w:r>
      <w:r w:rsidRPr="00061BB4">
        <w:rPr>
          <w:i/>
        </w:rPr>
        <w:t>D</w:t>
      </w:r>
      <w:r>
        <w:t xml:space="preserve">-Glucose entsteht die Carbonsäure </w:t>
      </w:r>
      <w:r w:rsidRPr="00061BB4">
        <w:rPr>
          <w:i/>
        </w:rPr>
        <w:t>D</w:t>
      </w:r>
      <w:r>
        <w:t>-</w:t>
      </w:r>
      <w:proofErr w:type="spellStart"/>
      <w:r>
        <w:t>Gluconsäure</w:t>
      </w:r>
      <w:proofErr w:type="spellEnd"/>
      <w:r>
        <w:t>. Gleichzeitig wird das elementare Brom zu Bromidionen red</w:t>
      </w:r>
      <w:r>
        <w:t>u</w:t>
      </w:r>
      <w:r>
        <w:t xml:space="preserve">ziert, wodurch die Entfärbung der Lösung auftritt. Fructose kann nicht </w:t>
      </w:r>
      <w:r>
        <w:lastRenderedPageBreak/>
        <w:t>we</w:t>
      </w:r>
      <w:r>
        <w:t>i</w:t>
      </w:r>
      <w:r>
        <w:t>ter oxidiert werden, da das Carbonylkohlenstoffatom bereits die höchste Oxidationsstufe besitzt.</w:t>
      </w:r>
    </w:p>
    <w:p w:rsidR="00BD13E6" w:rsidRDefault="00BD13E6" w:rsidP="00BD13E6">
      <w:pPr>
        <w:tabs>
          <w:tab w:val="left" w:pos="1701"/>
          <w:tab w:val="left" w:pos="1985"/>
        </w:tabs>
        <w:ind w:left="1985" w:hanging="1985"/>
      </w:pPr>
      <w:r>
        <w:object w:dxaOrig="9060" w:dyaOrig="18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92.95pt" o:ole="">
            <v:imagedata r:id="rId15" o:title=""/>
          </v:shape>
          <o:OLEObject Type="Embed" ProgID="ChemDraw.Document.6.0" ShapeID="_x0000_i1025" DrawAspect="Content" ObjectID="_1501518835" r:id="rId16"/>
        </w:object>
      </w:r>
    </w:p>
    <w:p w:rsidR="00BD13E6" w:rsidRDefault="00BD13E6" w:rsidP="00BD13E6">
      <w:pPr>
        <w:tabs>
          <w:tab w:val="left" w:pos="1701"/>
          <w:tab w:val="left" w:pos="1985"/>
        </w:tabs>
        <w:ind w:left="1985" w:hanging="1985"/>
      </w:pPr>
      <w:r>
        <w:t>Entsorgung:</w:t>
      </w:r>
      <w:r>
        <w:tab/>
      </w:r>
      <w:r>
        <w:tab/>
        <w:t>Beide Proben werden mit Natriumthiosulfatlösung versetzt und können dann in den Abfluss gegeben werden.</w:t>
      </w:r>
    </w:p>
    <w:p w:rsidR="00BD13E6" w:rsidRPr="00DB48F9" w:rsidRDefault="00BD13E6" w:rsidP="00BD13E6">
      <w:pPr>
        <w:ind w:left="1985" w:hanging="1985"/>
        <w:rPr>
          <w:rFonts w:ascii="Times New Roman" w:eastAsia="Times New Roman" w:hAnsi="Times New Roman" w:cs="Times New Roman"/>
          <w:color w:val="auto"/>
          <w:sz w:val="24"/>
          <w:szCs w:val="24"/>
          <w:lang w:eastAsia="de-DE"/>
        </w:rPr>
      </w:pPr>
      <w:r w:rsidRPr="003D292E">
        <w:rPr>
          <w:rFonts w:asciiTheme="majorHAnsi" w:eastAsia="Times New Roman" w:hAnsiTheme="majorHAnsi" w:cs="Times New Roman"/>
          <w:noProof/>
          <w:color w:val="auto"/>
          <w:szCs w:val="24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55.2pt;width:456.25pt;height:59.45pt;z-index:251660288;mso-position-horizontal:center;mso-position-horizontal-relative:margin;mso-width-relative:margin;mso-height-relative:margin" strokecolor="#c0504d" strokeweight="1pt">
            <v:stroke dashstyle="dash"/>
            <v:shadow color="#868686"/>
            <v:textbox style="mso-next-textbox:#_x0000_s1026">
              <w:txbxContent>
                <w:p w:rsidR="00BD13E6" w:rsidRDefault="00BD13E6" w:rsidP="00BD13E6">
                  <w:pPr>
                    <w:spacing w:after="0"/>
                  </w:pPr>
                  <w:r>
                    <w:t xml:space="preserve">Bei dem Versuch muss unbedingt unter dem </w:t>
                  </w:r>
                  <w:r w:rsidRPr="00AA2F5D">
                    <w:rPr>
                      <w:b/>
                    </w:rPr>
                    <w:t>Abzug</w:t>
                  </w:r>
                  <w:r>
                    <w:t xml:space="preserve"> gearbeitet werden und es müssen </w:t>
                  </w:r>
                  <w:r w:rsidRPr="00AA2F5D">
                    <w:rPr>
                      <w:b/>
                    </w:rPr>
                    <w:t>Schutzhandschuhe</w:t>
                  </w:r>
                  <w:r>
                    <w:t xml:space="preserve"> getragen werden. Zusätzlich muss zur Sicherheit immer eine gesättigte </w:t>
                  </w:r>
                  <w:r w:rsidRPr="00AA2F5D">
                    <w:rPr>
                      <w:b/>
                    </w:rPr>
                    <w:t>Natriumthiosulfatlösung</w:t>
                  </w:r>
                  <w:r>
                    <w:t xml:space="preserve"> bereit stehen. </w:t>
                  </w:r>
                </w:p>
                <w:p w:rsidR="00BD13E6" w:rsidRDefault="00BD13E6" w:rsidP="00BD13E6"/>
                <w:p w:rsidR="00BD13E6" w:rsidRPr="00530A18" w:rsidRDefault="00BD13E6" w:rsidP="00BD13E6"/>
              </w:txbxContent>
            </v:textbox>
            <w10:wrap type="square" anchorx="margin"/>
          </v:shape>
        </w:pict>
      </w:r>
      <w:r>
        <w:t>Literatur:</w:t>
      </w:r>
      <w:r>
        <w:tab/>
      </w:r>
      <w:r w:rsidRPr="00DB48F9">
        <w:rPr>
          <w:rFonts w:ascii="Times New Roman" w:eastAsia="Times New Roman" w:hAnsi="Times New Roman" w:cs="Times New Roman"/>
          <w:color w:val="auto"/>
          <w:sz w:val="24"/>
          <w:szCs w:val="24"/>
          <w:lang w:eastAsia="de-DE"/>
        </w:rPr>
        <w:t xml:space="preserve">C. Schmuck, Ed., </w:t>
      </w:r>
      <w:r w:rsidRPr="00DB48F9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de-DE"/>
        </w:rPr>
        <w:t>Chemie für Mediziner:</w:t>
      </w:r>
      <w:r w:rsidRPr="00DB48F9">
        <w:rPr>
          <w:rFonts w:ascii="Times New Roman" w:eastAsia="Times New Roman" w:hAnsi="Times New Roman" w:cs="Times New Roman"/>
          <w:color w:val="auto"/>
          <w:sz w:val="24"/>
          <w:szCs w:val="24"/>
          <w:lang w:eastAsia="de-DE"/>
        </w:rPr>
        <w:t xml:space="preserve"> Pearson Studium, München, </w:t>
      </w:r>
      <w:r w:rsidRPr="00DB48F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de-DE"/>
        </w:rPr>
        <w:t>2008</w:t>
      </w:r>
      <w:r w:rsidRPr="00DB48F9">
        <w:rPr>
          <w:rFonts w:ascii="Times New Roman" w:eastAsia="Times New Roman" w:hAnsi="Times New Roman" w:cs="Times New Roman"/>
          <w:color w:val="auto"/>
          <w:sz w:val="24"/>
          <w:szCs w:val="24"/>
          <w:lang w:eastAsia="de-DE"/>
        </w:rPr>
        <w:t>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de-DE"/>
        </w:rPr>
        <w:t xml:space="preserve"> S.601.</w:t>
      </w:r>
    </w:p>
    <w:p w:rsidR="002D0ED9" w:rsidRDefault="002D0ED9"/>
    <w:sectPr w:rsidR="002D0ED9" w:rsidSect="002D0E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123FF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D13E6"/>
    <w:rsid w:val="002D0ED9"/>
    <w:rsid w:val="003514D8"/>
    <w:rsid w:val="00717EFF"/>
    <w:rsid w:val="007A4199"/>
    <w:rsid w:val="007E31DB"/>
    <w:rsid w:val="009828F7"/>
    <w:rsid w:val="00B978DC"/>
    <w:rsid w:val="00BD13E6"/>
    <w:rsid w:val="00EE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mallCaps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D13E6"/>
    <w:pPr>
      <w:spacing w:line="360" w:lineRule="auto"/>
      <w:jc w:val="both"/>
    </w:pPr>
    <w:rPr>
      <w:rFonts w:ascii="Cambria" w:hAnsi="Cambria" w:cstheme="minorBidi"/>
      <w:smallCaps w:val="0"/>
      <w:color w:val="1D1B11" w:themeColor="background2" w:themeShade="1A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E7EF2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E7EF2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E7EF2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E7EF2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E7EF2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E7EF2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E7EF2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E7EF2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E7EF2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E7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E7E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E7E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E7E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E7EF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E7E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E7E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E7E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E7E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EE7EF2"/>
    <w:pPr>
      <w:spacing w:after="100"/>
    </w:pPr>
    <w:rPr>
      <w:rFonts w:eastAsiaTheme="minorEastAsia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EE7EF2"/>
    <w:pPr>
      <w:spacing w:after="100"/>
      <w:ind w:left="220"/>
    </w:pPr>
    <w:rPr>
      <w:rFonts w:eastAsiaTheme="minorEastAsia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EE7EF2"/>
    <w:pPr>
      <w:spacing w:after="100"/>
      <w:ind w:left="440"/>
    </w:pPr>
    <w:rPr>
      <w:rFonts w:eastAsiaTheme="minorEastAsia"/>
    </w:rPr>
  </w:style>
  <w:style w:type="paragraph" w:styleId="Listenabsatz">
    <w:name w:val="List Paragraph"/>
    <w:basedOn w:val="Standard"/>
    <w:uiPriority w:val="34"/>
    <w:qFormat/>
    <w:rsid w:val="00EE7EF2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E7EF2"/>
    <w:pPr>
      <w:numPr>
        <w:numId w:val="0"/>
      </w:numPr>
      <w:outlineLvl w:val="9"/>
    </w:pPr>
  </w:style>
  <w:style w:type="paragraph" w:styleId="Beschriftung">
    <w:name w:val="caption"/>
    <w:basedOn w:val="Standard"/>
    <w:next w:val="Standard"/>
    <w:uiPriority w:val="35"/>
    <w:unhideWhenUsed/>
    <w:qFormat/>
    <w:rsid w:val="00BD13E6"/>
    <w:pPr>
      <w:spacing w:line="240" w:lineRule="auto"/>
    </w:pPr>
    <w:rPr>
      <w:bCs/>
      <w:color w:val="auto"/>
      <w:sz w:val="18"/>
      <w:szCs w:val="18"/>
    </w:rPr>
  </w:style>
  <w:style w:type="paragraph" w:customStyle="1" w:styleId="Default">
    <w:name w:val="Default"/>
    <w:rsid w:val="00BD13E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smallCaps w:val="0"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13E6"/>
    <w:rPr>
      <w:rFonts w:ascii="Tahoma" w:hAnsi="Tahoma" w:cs="Tahoma"/>
      <w:smallCaps w:val="0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Roggenkämper</dc:creator>
  <cp:lastModifiedBy>Dennis Roggenkämper</cp:lastModifiedBy>
  <cp:revision>1</cp:revision>
  <dcterms:created xsi:type="dcterms:W3CDTF">2015-08-19T17:45:00Z</dcterms:created>
  <dcterms:modified xsi:type="dcterms:W3CDTF">2015-08-19T17:47:00Z</dcterms:modified>
</cp:coreProperties>
</file>