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DE" w:rsidRPr="00D561DE" w:rsidRDefault="00D561DE" w:rsidP="00D561DE">
      <w:pPr>
        <w:rPr>
          <w:b/>
        </w:rPr>
      </w:pPr>
      <w:r w:rsidRPr="00D561DE">
        <w:rPr>
          <w:b/>
          <w:smallCaps/>
        </w:rPr>
        <w:t>Fehling</w:t>
      </w:r>
      <w:r w:rsidRPr="00D561DE">
        <w:rPr>
          <w:b/>
        </w:rPr>
        <w:t>-Probe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561DE" w:rsidRPr="009C5E28" w:rsidTr="00F354FA">
        <w:tc>
          <w:tcPr>
            <w:tcW w:w="9322" w:type="dxa"/>
            <w:gridSpan w:val="9"/>
            <w:shd w:val="clear" w:color="auto" w:fill="4F81BD"/>
            <w:vAlign w:val="center"/>
          </w:tcPr>
          <w:p w:rsidR="00D561DE" w:rsidRPr="00F31EBF" w:rsidRDefault="00D561DE" w:rsidP="00F354F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561DE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 w:line="276" w:lineRule="auto"/>
              <w:jc w:val="center"/>
              <w:rPr>
                <w:sz w:val="20"/>
              </w:rPr>
            </w:pPr>
            <w:r w:rsidRPr="0012305A">
              <w:rPr>
                <w:smallCaps/>
              </w:rPr>
              <w:t>Fehling</w:t>
            </w:r>
            <w:r>
              <w:rPr>
                <w:sz w:val="20"/>
              </w:rPr>
              <w:t xml:space="preserve"> I-Lösung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B170E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61DE" w:rsidRPr="00B170E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273-501</w:t>
            </w:r>
          </w:p>
        </w:tc>
      </w:tr>
      <w:tr w:rsidR="00D561DE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 w:line="276" w:lineRule="auto"/>
              <w:jc w:val="center"/>
              <w:rPr>
                <w:sz w:val="20"/>
              </w:rPr>
            </w:pPr>
            <w:r w:rsidRPr="0012305A">
              <w:rPr>
                <w:smallCaps/>
              </w:rPr>
              <w:t>Fehling</w:t>
            </w:r>
            <w:r>
              <w:rPr>
                <w:sz w:val="20"/>
              </w:rPr>
              <w:t xml:space="preserve"> II-Lösung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B170E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61DE" w:rsidRPr="00B170E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280-305+351+338-310</w:t>
            </w:r>
          </w:p>
        </w:tc>
      </w:tr>
      <w:tr w:rsidR="00D561DE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B170E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61DE" w:rsidRPr="00B170E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1DE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Galactose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1DE" w:rsidRPr="009C5E28" w:rsidTr="00F354F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61DE" w:rsidRDefault="00D561DE" w:rsidP="00F35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1DE" w:rsidRPr="009C5E28" w:rsidTr="00F354F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4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5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61DE" w:rsidRPr="009C5E28" w:rsidRDefault="00D561DE" w:rsidP="00F354F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1DE" w:rsidRDefault="00D561DE" w:rsidP="00D561DE">
      <w:pPr>
        <w:tabs>
          <w:tab w:val="left" w:pos="1701"/>
          <w:tab w:val="left" w:pos="1985"/>
        </w:tabs>
        <w:ind w:left="1980" w:hanging="1980"/>
      </w:pPr>
    </w:p>
    <w:p w:rsidR="00D561DE" w:rsidRDefault="00D561DE" w:rsidP="00D561D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6 Reagenzgläser, Pasteurpipette, Kristallschale, Bunsenbrenner, Dreifuß mit Drahtnetz, </w:t>
      </w:r>
    </w:p>
    <w:p w:rsidR="00D561DE" w:rsidRPr="00ED07C2" w:rsidRDefault="00D561DE" w:rsidP="00D561DE">
      <w:pPr>
        <w:tabs>
          <w:tab w:val="left" w:pos="1701"/>
          <w:tab w:val="left" w:pos="1985"/>
          <w:tab w:val="left" w:pos="3304"/>
        </w:tabs>
        <w:ind w:left="1980" w:hanging="1980"/>
      </w:pPr>
      <w:r>
        <w:t>Chemikalien:</w:t>
      </w:r>
      <w:r>
        <w:tab/>
      </w:r>
      <w:r>
        <w:tab/>
      </w:r>
      <w:r w:rsidRPr="0012305A">
        <w:rPr>
          <w:smallCaps/>
        </w:rPr>
        <w:t>Fehling</w:t>
      </w:r>
      <w:r>
        <w:t xml:space="preserve">-Lösung I+II, destilliertes Wasser, Glucose, </w:t>
      </w:r>
      <w:proofErr w:type="spellStart"/>
      <w:r>
        <w:t>Galactose</w:t>
      </w:r>
      <w:proofErr w:type="spellEnd"/>
      <w:r>
        <w:t>, Fructose.</w:t>
      </w:r>
    </w:p>
    <w:p w:rsidR="00D561DE" w:rsidRDefault="00D561DE" w:rsidP="00D561DE">
      <w:pPr>
        <w:tabs>
          <w:tab w:val="left" w:pos="1701"/>
          <w:tab w:val="left" w:pos="1985"/>
        </w:tabs>
        <w:spacing w:after="0"/>
        <w:ind w:left="1980" w:hanging="1980"/>
      </w:pPr>
      <w:r>
        <w:t>Durchführung:</w:t>
      </w:r>
      <w:r>
        <w:tab/>
      </w:r>
      <w:r>
        <w:tab/>
        <w:t xml:space="preserve">Ansetzen der </w:t>
      </w:r>
      <w:r w:rsidRPr="0012305A">
        <w:rPr>
          <w:smallCaps/>
        </w:rPr>
        <w:t>Fehling</w:t>
      </w:r>
      <w:r>
        <w:t>-Lösung I+II, falls keine zur Verfügung steht:</w:t>
      </w:r>
    </w:p>
    <w:p w:rsidR="00D561DE" w:rsidRDefault="00D561DE" w:rsidP="00D561DE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r w:rsidRPr="0012305A">
        <w:rPr>
          <w:smallCaps/>
        </w:rPr>
        <w:t>Fehling</w:t>
      </w:r>
      <w:r>
        <w:t xml:space="preserve"> I: In 100 mL destilliertem Wasser werden 3,5 g Kupfersulfat-</w:t>
      </w:r>
      <w:proofErr w:type="spellStart"/>
      <w:r>
        <w:t>Pentahydrat</w:t>
      </w:r>
      <w:proofErr w:type="spellEnd"/>
      <w:r>
        <w:t xml:space="preserve"> gelöst.</w:t>
      </w:r>
    </w:p>
    <w:p w:rsidR="00D561DE" w:rsidRDefault="00D561DE" w:rsidP="00D561DE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r w:rsidRPr="0012305A">
        <w:rPr>
          <w:smallCaps/>
        </w:rPr>
        <w:t>Fehling</w:t>
      </w:r>
      <w:r>
        <w:t xml:space="preserve"> II: In 50 mL werden 10 g Natriumhydroxid gelöst. Die Lösung wird mit 34 g Kalium-Natrium-Tartrat versetzt und auf ein Volumen von 100 mL aufgefüllt.</w:t>
      </w:r>
    </w:p>
    <w:p w:rsidR="00D561DE" w:rsidRDefault="00D561DE" w:rsidP="00D561DE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Für die </w:t>
      </w:r>
      <w:r w:rsidRPr="0012305A">
        <w:rPr>
          <w:smallCaps/>
        </w:rPr>
        <w:t>Fehling</w:t>
      </w:r>
      <w:r>
        <w:rPr>
          <w:smallCaps/>
        </w:rPr>
        <w:t>-</w:t>
      </w:r>
      <w:r w:rsidRPr="00A32130">
        <w:t>Probe</w:t>
      </w:r>
      <w:r>
        <w:t xml:space="preserve"> wird je eine Spatelspitze von Glucose, </w:t>
      </w:r>
      <w:proofErr w:type="spellStart"/>
      <w:r>
        <w:t>Galactose</w:t>
      </w:r>
      <w:proofErr w:type="spellEnd"/>
      <w:r>
        <w:t xml:space="preserve"> und Fructose in je ein Reagenzglas gegeben und mit 2 mL destilliertem Wasser versetzt. </w:t>
      </w:r>
      <w:r w:rsidRPr="0012305A">
        <w:rPr>
          <w:smallCaps/>
        </w:rPr>
        <w:t>Fehling</w:t>
      </w:r>
      <w:r>
        <w:t xml:space="preserve"> I und </w:t>
      </w:r>
      <w:r w:rsidRPr="0012305A">
        <w:rPr>
          <w:smallCaps/>
        </w:rPr>
        <w:t>Fehling</w:t>
      </w:r>
      <w:r>
        <w:t xml:space="preserve"> II werden im Verhältnis 1:1 zusammeng</w:t>
      </w:r>
      <w:r>
        <w:t>e</w:t>
      </w:r>
      <w:r>
        <w:t>geben (je 2 mL) und anschließend zur Probelösung gegeben. Die drei Pr</w:t>
      </w:r>
      <w:r>
        <w:t>o</w:t>
      </w:r>
      <w:r>
        <w:t xml:space="preserve">ben werden im Wasserbad erhitzt bis eine Farbe auftritt. </w:t>
      </w:r>
    </w:p>
    <w:p w:rsidR="00D561DE" w:rsidRDefault="00D561DE" w:rsidP="00D561D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Wenn </w:t>
      </w:r>
      <w:r w:rsidRPr="0012305A">
        <w:rPr>
          <w:smallCaps/>
        </w:rPr>
        <w:t>Fehling</w:t>
      </w:r>
      <w:r>
        <w:t xml:space="preserve"> I und </w:t>
      </w:r>
      <w:r w:rsidRPr="0012305A">
        <w:rPr>
          <w:smallCaps/>
        </w:rPr>
        <w:t>Fehling</w:t>
      </w:r>
      <w:r>
        <w:t xml:space="preserve"> II zusammengegeben werden, entsteht eine tiefblaue Lösung. Nachdem die Proben im Wasserbad erhitzt werden, fällt sehr schnell bei Glucose und </w:t>
      </w:r>
      <w:proofErr w:type="spellStart"/>
      <w:r>
        <w:t>Galactose</w:t>
      </w:r>
      <w:proofErr w:type="spellEnd"/>
      <w:r>
        <w:t xml:space="preserve"> ein orange-brauner Niederschlag aus. Bei Fructose fällt nach längerer Zeit ein orange-brauner Niederschlag aus.</w:t>
      </w:r>
    </w:p>
    <w:p w:rsidR="00D561DE" w:rsidRDefault="00D561DE" w:rsidP="00D561DE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bookmarkStart w:id="0" w:name="_GoBack"/>
      <w:r>
        <w:rPr>
          <w:noProof/>
          <w:lang w:eastAsia="de-DE"/>
        </w:rPr>
        <w:lastRenderedPageBreak/>
        <w:drawing>
          <wp:inline distT="0" distB="0" distL="0" distR="0">
            <wp:extent cx="1836816" cy="2520000"/>
            <wp:effectExtent l="361950" t="0" r="334884" b="0"/>
            <wp:docPr id="65" name="Bild 26" descr="C:\Users\Dennis Roggenkämper\AppData\Local\Microsoft\Windows\Temporary Internet Files\Content.Word\IMG_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nnis Roggenkämper\AppData\Local\Microsoft\Windows\Temporary Internet Files\Content.Word\IMG_22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9571" cy="251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561DE" w:rsidRPr="00C923AB" w:rsidRDefault="00D561DE" w:rsidP="00D561DE">
      <w:pPr>
        <w:pStyle w:val="Beschriftung"/>
        <w:spacing w:after="240"/>
        <w:jc w:val="center"/>
      </w:pPr>
      <w:r w:rsidRPr="00C923AB">
        <w:t>Abb. 7 –</w:t>
      </w:r>
      <w:r>
        <w:t xml:space="preserve"> </w:t>
      </w:r>
      <w:r w:rsidRPr="0012305A">
        <w:rPr>
          <w:smallCaps/>
        </w:rPr>
        <w:t>Fehling</w:t>
      </w:r>
      <w:r w:rsidRPr="00C923AB">
        <w:t xml:space="preserve"> -Probe mit </w:t>
      </w:r>
      <w:r w:rsidRPr="00C923AB">
        <w:rPr>
          <w:noProof/>
        </w:rPr>
        <w:t>F</w:t>
      </w:r>
      <w:r>
        <w:rPr>
          <w:noProof/>
        </w:rPr>
        <w:t>ructose, Glucose und Galactose.</w:t>
      </w:r>
    </w:p>
    <w:p w:rsidR="00D561DE" w:rsidRDefault="00D561DE" w:rsidP="00D561DE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Die Aldehydgruppe der Glucose und </w:t>
      </w:r>
      <w:proofErr w:type="spellStart"/>
      <w:r>
        <w:t>Galactose</w:t>
      </w:r>
      <w:proofErr w:type="spellEnd"/>
      <w:r>
        <w:t xml:space="preserve"> oxidiert die Kupfer(II)-Ionen in Lösung, sodass Kupfer(I)-</w:t>
      </w:r>
      <w:proofErr w:type="spellStart"/>
      <w:r>
        <w:t>oxid</w:t>
      </w:r>
      <w:proofErr w:type="spellEnd"/>
      <w:r>
        <w:t xml:space="preserve"> ausfällt. Gleichzeitig wird die Aldehyd-gruppe zur </w:t>
      </w:r>
      <w:proofErr w:type="spellStart"/>
      <w:r>
        <w:t>Carboxylgruppe</w:t>
      </w:r>
      <w:proofErr w:type="spellEnd"/>
      <w:r>
        <w:t xml:space="preserve"> oxidiert. </w:t>
      </w:r>
    </w:p>
    <w:p w:rsidR="00D561DE" w:rsidRPr="00AA2F5D" w:rsidRDefault="00D561DE" w:rsidP="00D561DE">
      <w:pPr>
        <w:tabs>
          <w:tab w:val="left" w:pos="1701"/>
          <w:tab w:val="left" w:pos="1985"/>
        </w:tabs>
        <w:ind w:left="1985" w:hanging="1985"/>
        <w:rPr>
          <w:vertAlign w:val="subscript"/>
        </w:rPr>
      </w:pPr>
      <w:r>
        <w:tab/>
      </w:r>
      <w:r>
        <w:tab/>
      </w:r>
      <w:r w:rsidRPr="00AA2F5D">
        <w:rPr>
          <w:u w:val="single"/>
        </w:rPr>
        <w:t>Oxidation:</w:t>
      </w:r>
      <w:r w:rsidRPr="00AA2F5D">
        <w:t xml:space="preserve">  R-CHO </w:t>
      </w:r>
      <w:r w:rsidRPr="00AA2F5D">
        <w:rPr>
          <w:vertAlign w:val="subscript"/>
        </w:rPr>
        <w:t>(</w:t>
      </w:r>
      <w:proofErr w:type="spellStart"/>
      <w:r w:rsidRPr="00AA2F5D">
        <w:rPr>
          <w:vertAlign w:val="subscript"/>
        </w:rPr>
        <w:t>aq</w:t>
      </w:r>
      <w:proofErr w:type="spellEnd"/>
      <w:r w:rsidRPr="00AA2F5D">
        <w:rPr>
          <w:vertAlign w:val="subscript"/>
        </w:rPr>
        <w:t>)</w:t>
      </w:r>
      <w:r w:rsidRPr="00AA2F5D">
        <w:t xml:space="preserve">   +   2 OH</w:t>
      </w:r>
      <w:r w:rsidRPr="00AA2F5D">
        <w:rPr>
          <w:vertAlign w:val="superscript"/>
        </w:rPr>
        <w:t>-</w:t>
      </w:r>
      <w:r w:rsidRPr="00AA2F5D">
        <w:t xml:space="preserve"> </w:t>
      </w:r>
      <w:r w:rsidRPr="00AA2F5D">
        <w:rPr>
          <w:vertAlign w:val="subscript"/>
        </w:rPr>
        <w:t>(</w:t>
      </w:r>
      <w:proofErr w:type="spellStart"/>
      <w:r w:rsidRPr="00AA2F5D">
        <w:rPr>
          <w:vertAlign w:val="subscript"/>
        </w:rPr>
        <w:t>aq</w:t>
      </w:r>
      <w:proofErr w:type="spellEnd"/>
      <w:r w:rsidRPr="00AA2F5D">
        <w:rPr>
          <w:vertAlign w:val="subscript"/>
        </w:rPr>
        <w:t>)</w:t>
      </w:r>
      <w:r w:rsidRPr="00AA2F5D">
        <w:t xml:space="preserve">   →   R-COOH </w:t>
      </w:r>
      <w:r w:rsidRPr="00AA2F5D">
        <w:rPr>
          <w:vertAlign w:val="subscript"/>
        </w:rPr>
        <w:t>(</w:t>
      </w:r>
      <w:proofErr w:type="spellStart"/>
      <w:r w:rsidRPr="00AA2F5D">
        <w:rPr>
          <w:vertAlign w:val="subscript"/>
        </w:rPr>
        <w:t>aq</w:t>
      </w:r>
      <w:proofErr w:type="spellEnd"/>
      <w:r w:rsidRPr="00AA2F5D">
        <w:rPr>
          <w:vertAlign w:val="subscript"/>
        </w:rPr>
        <w:t>)</w:t>
      </w:r>
      <w:r w:rsidRPr="00AA2F5D">
        <w:t xml:space="preserve">   +   2 e</w:t>
      </w:r>
      <w:r w:rsidRPr="00AA2F5D">
        <w:rPr>
          <w:vertAlign w:val="superscript"/>
        </w:rPr>
        <w:t>-</w:t>
      </w:r>
      <w:r w:rsidRPr="00AA2F5D">
        <w:t xml:space="preserve">   +   H</w:t>
      </w:r>
      <w:r w:rsidRPr="00AA2F5D">
        <w:rPr>
          <w:vertAlign w:val="subscript"/>
        </w:rPr>
        <w:t>2</w:t>
      </w:r>
      <w:r w:rsidRPr="00AA2F5D">
        <w:t xml:space="preserve">O </w:t>
      </w:r>
      <w:r w:rsidRPr="00AA2F5D">
        <w:rPr>
          <w:vertAlign w:val="subscript"/>
        </w:rPr>
        <w:t>(l)</w:t>
      </w:r>
    </w:p>
    <w:p w:rsidR="00D561DE" w:rsidRPr="00AA2F5D" w:rsidRDefault="00D561DE" w:rsidP="00D561DE">
      <w:pPr>
        <w:tabs>
          <w:tab w:val="left" w:pos="1701"/>
          <w:tab w:val="left" w:pos="1985"/>
        </w:tabs>
        <w:ind w:left="1985" w:hanging="1985"/>
        <w:rPr>
          <w:vertAlign w:val="subscript"/>
        </w:rPr>
      </w:pPr>
      <w:r w:rsidRPr="00AA2F5D">
        <w:tab/>
      </w:r>
      <w:r w:rsidRPr="00AA2F5D">
        <w:tab/>
      </w:r>
      <w:r w:rsidRPr="0069687C">
        <w:rPr>
          <w:u w:val="single"/>
        </w:rPr>
        <w:t>Reduktion:</w:t>
      </w:r>
      <w:r w:rsidRPr="006C700F">
        <w:t xml:space="preserve"> 2 Cu</w:t>
      </w:r>
      <w:r w:rsidRPr="006C700F">
        <w:rPr>
          <w:vertAlign w:val="superscript"/>
        </w:rPr>
        <w:t>2+</w:t>
      </w:r>
      <w:r w:rsidRPr="006C700F">
        <w:t xml:space="preserve"> </w:t>
      </w:r>
      <w:r w:rsidRPr="006C700F">
        <w:rPr>
          <w:vertAlign w:val="subscript"/>
        </w:rPr>
        <w:t>(</w:t>
      </w:r>
      <w:proofErr w:type="spellStart"/>
      <w:r w:rsidRPr="006C700F">
        <w:rPr>
          <w:vertAlign w:val="subscript"/>
        </w:rPr>
        <w:t>aq</w:t>
      </w:r>
      <w:proofErr w:type="spellEnd"/>
      <w:r w:rsidRPr="006C700F">
        <w:rPr>
          <w:vertAlign w:val="subscript"/>
        </w:rPr>
        <w:t>)</w:t>
      </w:r>
      <w:r w:rsidRPr="006C700F">
        <w:t xml:space="preserve">   +   2 e</w:t>
      </w:r>
      <w:r w:rsidRPr="006C700F">
        <w:rPr>
          <w:vertAlign w:val="superscript"/>
        </w:rPr>
        <w:t>-</w:t>
      </w:r>
      <w:r w:rsidRPr="006C700F">
        <w:t xml:space="preserve">   +   2 O</w:t>
      </w:r>
      <w:r>
        <w:t>H</w:t>
      </w:r>
      <w:r w:rsidRPr="006C700F">
        <w:rPr>
          <w:vertAlign w:val="superscript"/>
        </w:rPr>
        <w:t>-</w:t>
      </w:r>
      <w:r w:rsidRPr="006C700F">
        <w:t xml:space="preserve"> </w:t>
      </w:r>
      <w:r w:rsidRPr="006C700F">
        <w:rPr>
          <w:vertAlign w:val="subscript"/>
        </w:rPr>
        <w:t>(</w:t>
      </w:r>
      <w:proofErr w:type="spellStart"/>
      <w:r w:rsidRPr="006C700F">
        <w:rPr>
          <w:vertAlign w:val="subscript"/>
        </w:rPr>
        <w:t>aq</w:t>
      </w:r>
      <w:proofErr w:type="spellEnd"/>
      <w:r w:rsidRPr="006C700F">
        <w:rPr>
          <w:vertAlign w:val="subscript"/>
        </w:rPr>
        <w:t>)</w:t>
      </w:r>
      <w:r w:rsidRPr="006C700F">
        <w:t xml:space="preserve">   </w:t>
      </w:r>
      <w:r>
        <w:t xml:space="preserve">→   </w:t>
      </w:r>
      <w:r w:rsidRPr="006C700F">
        <w:t>Cu</w:t>
      </w:r>
      <w:r w:rsidRPr="006C700F">
        <w:rPr>
          <w:vertAlign w:val="subscript"/>
        </w:rPr>
        <w:t>2</w:t>
      </w:r>
      <w:r w:rsidRPr="006C700F">
        <w:t xml:space="preserve">O ↓ </w:t>
      </w:r>
      <w:r w:rsidRPr="006C700F">
        <w:rPr>
          <w:vertAlign w:val="subscript"/>
        </w:rPr>
        <w:t>(s)</w:t>
      </w:r>
      <w:r w:rsidRPr="006C700F">
        <w:t xml:space="preserve">  </w:t>
      </w:r>
      <w:r>
        <w:t xml:space="preserve"> </w:t>
      </w:r>
      <w:r w:rsidRPr="006C700F">
        <w:t xml:space="preserve">+ </w:t>
      </w:r>
      <w:r>
        <w:t xml:space="preserve"> </w:t>
      </w:r>
      <w:r w:rsidRPr="006C700F">
        <w:t xml:space="preserve"> </w:t>
      </w:r>
      <w:r w:rsidRPr="00AA2F5D">
        <w:t>H</w:t>
      </w:r>
      <w:r w:rsidRPr="00AA2F5D">
        <w:rPr>
          <w:vertAlign w:val="subscript"/>
        </w:rPr>
        <w:t>2</w:t>
      </w:r>
      <w:r w:rsidRPr="00AA2F5D">
        <w:t xml:space="preserve">O </w:t>
      </w:r>
      <w:r w:rsidRPr="00AA2F5D">
        <w:rPr>
          <w:vertAlign w:val="subscript"/>
        </w:rPr>
        <w:t>(l)</w:t>
      </w:r>
    </w:p>
    <w:p w:rsidR="00D561DE" w:rsidRPr="0069687C" w:rsidRDefault="00D561DE" w:rsidP="00D561DE">
      <w:pPr>
        <w:tabs>
          <w:tab w:val="left" w:pos="1701"/>
          <w:tab w:val="left" w:pos="1985"/>
        </w:tabs>
        <w:spacing w:after="0"/>
        <w:ind w:left="1985" w:hanging="1985"/>
        <w:rPr>
          <w:u w:val="single"/>
        </w:rPr>
      </w:pPr>
      <w:r>
        <w:tab/>
      </w:r>
      <w:r>
        <w:tab/>
      </w:r>
      <w:r w:rsidRPr="0069687C">
        <w:rPr>
          <w:u w:val="single"/>
        </w:rPr>
        <w:t>Redoxreaktion:</w:t>
      </w:r>
    </w:p>
    <w:p w:rsidR="00D561DE" w:rsidRDefault="00D561DE" w:rsidP="00D561DE">
      <w:pPr>
        <w:tabs>
          <w:tab w:val="left" w:pos="1701"/>
          <w:tab w:val="left" w:pos="1985"/>
        </w:tabs>
        <w:ind w:left="1985" w:hanging="1985"/>
        <w:rPr>
          <w:vertAlign w:val="subscript"/>
        </w:rPr>
      </w:pPr>
      <w:r>
        <w:tab/>
      </w:r>
      <w:r>
        <w:tab/>
      </w:r>
      <w:r w:rsidRPr="0069687C">
        <w:t xml:space="preserve">R-CHO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+  2 Cu</w:t>
      </w:r>
      <w:r w:rsidRPr="0069687C">
        <w:rPr>
          <w:vertAlign w:val="superscript"/>
        </w:rPr>
        <w:t>2+</w:t>
      </w:r>
      <w:r w:rsidRPr="0069687C">
        <w:t xml:space="preserve">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+  4 OH</w:t>
      </w:r>
      <w:r w:rsidRPr="0069687C">
        <w:rPr>
          <w:vertAlign w:val="superscript"/>
        </w:rPr>
        <w:t>-</w:t>
      </w:r>
      <w:r w:rsidRPr="0069687C">
        <w:t xml:space="preserve">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→  R-COOH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+  Cu</w:t>
      </w:r>
      <w:r w:rsidRPr="0069687C">
        <w:rPr>
          <w:vertAlign w:val="subscript"/>
        </w:rPr>
        <w:t>2</w:t>
      </w:r>
      <w:r w:rsidRPr="0069687C">
        <w:t xml:space="preserve">O ↓ </w:t>
      </w:r>
      <w:r w:rsidRPr="0069687C">
        <w:rPr>
          <w:vertAlign w:val="subscript"/>
        </w:rPr>
        <w:t>(s)</w:t>
      </w:r>
      <w:r>
        <w:t xml:space="preserve">  +</w:t>
      </w:r>
      <w:r w:rsidRPr="0069687C">
        <w:t xml:space="preserve">  </w:t>
      </w:r>
      <w:r>
        <w:t xml:space="preserve"> 2</w:t>
      </w:r>
      <w:r w:rsidRPr="0069687C">
        <w:t xml:space="preserve"> H</w:t>
      </w:r>
      <w:r w:rsidRPr="0069687C">
        <w:rPr>
          <w:vertAlign w:val="subscript"/>
        </w:rPr>
        <w:t>2</w:t>
      </w:r>
      <w:r w:rsidRPr="0069687C">
        <w:t xml:space="preserve">O </w:t>
      </w:r>
      <w:r w:rsidRPr="0069687C">
        <w:rPr>
          <w:vertAlign w:val="subscript"/>
        </w:rPr>
        <w:t>(l)</w:t>
      </w:r>
    </w:p>
    <w:p w:rsidR="00D561DE" w:rsidRDefault="00D561DE" w:rsidP="00D561DE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 xml:space="preserve">Die </w:t>
      </w:r>
      <w:proofErr w:type="spellStart"/>
      <w:r>
        <w:t>Ketogruppe</w:t>
      </w:r>
      <w:proofErr w:type="spellEnd"/>
      <w:r>
        <w:t xml:space="preserve"> der Fructose wirkt nicht reduzierend. Die Fehling-Probe ist positiv, da durch die </w:t>
      </w:r>
      <w:proofErr w:type="spellStart"/>
      <w:r>
        <w:t>Lobry</w:t>
      </w:r>
      <w:proofErr w:type="spellEnd"/>
      <w:r>
        <w:t xml:space="preserve"> de Bruyn-van Eckstein-Umlagerung (</w:t>
      </w:r>
      <w:proofErr w:type="spellStart"/>
      <w:r>
        <w:t>Keto</w:t>
      </w:r>
      <w:proofErr w:type="spellEnd"/>
      <w:r>
        <w:t>-</w:t>
      </w:r>
      <w:proofErr w:type="spellStart"/>
      <w:r>
        <w:t>Enol</w:t>
      </w:r>
      <w:proofErr w:type="spellEnd"/>
      <w:r>
        <w:t xml:space="preserve">-Tautomerie) aus der Ketose eine </w:t>
      </w:r>
      <w:proofErr w:type="spellStart"/>
      <w:r>
        <w:t>Aldose</w:t>
      </w:r>
      <w:proofErr w:type="spellEnd"/>
      <w:r>
        <w:t xml:space="preserve"> entsteht. Das heißt, dass aus Fru</w:t>
      </w:r>
      <w:r>
        <w:t>c</w:t>
      </w:r>
      <w:r>
        <w:t>tose über eine Zwischenstufe (</w:t>
      </w:r>
      <w:proofErr w:type="spellStart"/>
      <w:r>
        <w:t>Endiol</w:t>
      </w:r>
      <w:proofErr w:type="spellEnd"/>
      <w:r>
        <w:t>) Glucose entsteht. Katalysiert wird die Reaktion durch die alkalischen Bedingungen:</w:t>
      </w:r>
    </w:p>
    <w:p w:rsidR="00D561DE" w:rsidRPr="0069687C" w:rsidRDefault="00D561DE" w:rsidP="00D561DE">
      <w:pPr>
        <w:tabs>
          <w:tab w:val="left" w:pos="1701"/>
          <w:tab w:val="left" w:pos="1985"/>
        </w:tabs>
        <w:ind w:left="1985" w:hanging="1985"/>
        <w:jc w:val="center"/>
      </w:pPr>
      <w:r>
        <w:object w:dxaOrig="6638" w:dyaOrig="1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5pt;height:55.25pt" o:ole="">
            <v:imagedata r:id="rId15" o:title=""/>
          </v:shape>
          <o:OLEObject Type="Embed" ProgID="ChemDraw.Document.6.0" ShapeID="_x0000_i1025" DrawAspect="Content" ObjectID="_1501518979" r:id="rId16"/>
        </w:object>
      </w:r>
    </w:p>
    <w:p w:rsidR="00D561DE" w:rsidRDefault="00D561DE" w:rsidP="00D561DE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Die Lösungen werden filtriert. Das Filtrat wird in den Schwermetallbehä</w:t>
      </w:r>
      <w:r>
        <w:t>l</w:t>
      </w:r>
      <w:r>
        <w:t>ter gegeben, der Rückstand wird in den Feststoffabfall gegeben.</w:t>
      </w:r>
    </w:p>
    <w:p w:rsidR="002D0ED9" w:rsidRPr="00D561DE" w:rsidRDefault="00D561DE" w:rsidP="00D561DE">
      <w:pPr>
        <w:ind w:left="1985" w:hanging="1985"/>
        <w:rPr>
          <w:rFonts w:ascii="Cambria Math" w:hAnsi="Cambria Math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54.9pt;width:456.25pt;height:24.45pt;z-index:251660288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D561DE" w:rsidRDefault="00D561DE" w:rsidP="00D561DE">
                  <w:r>
                    <w:t xml:space="preserve">Die </w:t>
                  </w:r>
                  <w:r w:rsidRPr="0012305A">
                    <w:rPr>
                      <w:smallCaps/>
                    </w:rPr>
                    <w:t>Fehling</w:t>
                  </w:r>
                  <w:r>
                    <w:t>-Lösungen sollten vorher von der Lehrperson angesetzt werden.</w:t>
                  </w:r>
                </w:p>
                <w:p w:rsidR="00D561DE" w:rsidRPr="00530A18" w:rsidRDefault="00D561DE" w:rsidP="00D561DE"/>
              </w:txbxContent>
            </v:textbox>
            <w10:wrap type="square" anchorx="margin"/>
          </v:shape>
        </w:pict>
      </w:r>
      <w:r>
        <w:t>Literatur:</w:t>
      </w:r>
      <w:r>
        <w:tab/>
      </w:r>
      <w:r w:rsidRPr="00D561D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M. Just, E. Just, O. </w:t>
      </w:r>
      <w:proofErr w:type="spellStart"/>
      <w:r w:rsidRPr="00D561DE">
        <w:rPr>
          <w:rFonts w:ascii="Cambria Math" w:eastAsia="Times New Roman" w:hAnsi="Cambria Math" w:cs="Times New Roman"/>
          <w:color w:val="auto"/>
          <w:szCs w:val="24"/>
          <w:lang w:eastAsia="de-DE"/>
        </w:rPr>
        <w:t>Kownatzki</w:t>
      </w:r>
      <w:proofErr w:type="spellEnd"/>
      <w:r w:rsidRPr="00D561D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H. </w:t>
      </w:r>
      <w:proofErr w:type="spellStart"/>
      <w:r w:rsidRPr="00D561DE">
        <w:rPr>
          <w:rFonts w:ascii="Cambria Math" w:eastAsia="Times New Roman" w:hAnsi="Cambria Math" w:cs="Times New Roman"/>
          <w:color w:val="auto"/>
          <w:szCs w:val="24"/>
          <w:lang w:eastAsia="de-DE"/>
        </w:rPr>
        <w:t>Keune</w:t>
      </w:r>
      <w:proofErr w:type="spellEnd"/>
      <w:r w:rsidRPr="00D561D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Eds., </w:t>
      </w:r>
      <w:r w:rsidRPr="00D561DE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Organische Chemie</w:t>
      </w:r>
      <w:r w:rsidRPr="00D561D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Volk Und Wissen, Berlin, </w:t>
      </w:r>
      <w:r w:rsidRPr="00D561DE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2009</w:t>
      </w:r>
      <w:r w:rsidRPr="00D561DE">
        <w:rPr>
          <w:rFonts w:ascii="Cambria Math" w:eastAsia="Times New Roman" w:hAnsi="Cambria Math" w:cs="Times New Roman"/>
          <w:color w:val="auto"/>
          <w:szCs w:val="24"/>
          <w:lang w:eastAsia="de-DE"/>
        </w:rPr>
        <w:t>. S. 206/207.</w:t>
      </w:r>
    </w:p>
    <w:sectPr w:rsidR="002D0ED9" w:rsidRPr="00D561DE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61DE"/>
    <w:rsid w:val="002D0ED9"/>
    <w:rsid w:val="003514D8"/>
    <w:rsid w:val="003A402E"/>
    <w:rsid w:val="00717EFF"/>
    <w:rsid w:val="007A4199"/>
    <w:rsid w:val="007E31DB"/>
    <w:rsid w:val="00B978DC"/>
    <w:rsid w:val="00D561DE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1DE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D561D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1DE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1</cp:revision>
  <dcterms:created xsi:type="dcterms:W3CDTF">2015-08-19T17:49:00Z</dcterms:created>
  <dcterms:modified xsi:type="dcterms:W3CDTF">2015-08-19T17:50:00Z</dcterms:modified>
</cp:coreProperties>
</file>