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95" w:rsidRPr="00D31C95" w:rsidRDefault="00D31C95" w:rsidP="00D31C95">
      <w:pPr>
        <w:rPr>
          <w:b/>
        </w:rPr>
      </w:pPr>
      <w:r w:rsidRPr="00D31C95">
        <w:rPr>
          <w:b/>
        </w:rPr>
        <w:t xml:space="preserve">Stärke-Nachweis mit </w:t>
      </w:r>
      <w:proofErr w:type="spellStart"/>
      <w:r w:rsidRPr="00D31C95">
        <w:rPr>
          <w:b/>
          <w:smallCaps/>
        </w:rPr>
        <w:t>Lugol</w:t>
      </w:r>
      <w:r w:rsidRPr="00D31C95">
        <w:rPr>
          <w:b/>
        </w:rPr>
        <w:t>’scher</w:t>
      </w:r>
      <w:proofErr w:type="spellEnd"/>
      <w:r w:rsidRPr="00D31C95">
        <w:rPr>
          <w:b/>
        </w:rPr>
        <w:t xml:space="preserve"> Lösung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31C95" w:rsidRPr="009C5E28" w:rsidTr="008D3643">
        <w:tc>
          <w:tcPr>
            <w:tcW w:w="9322" w:type="dxa"/>
            <w:gridSpan w:val="9"/>
            <w:shd w:val="clear" w:color="auto" w:fill="4F81BD"/>
            <w:vAlign w:val="center"/>
          </w:tcPr>
          <w:p w:rsidR="00D31C95" w:rsidRPr="00F31EBF" w:rsidRDefault="00D31C95" w:rsidP="008D364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31C95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41916">
              <w:rPr>
                <w:smallCaps/>
                <w:sz w:val="20"/>
                <w:szCs w:val="20"/>
              </w:rPr>
              <w:t>Lugol</w:t>
            </w:r>
            <w:r w:rsidRPr="00B41916">
              <w:rPr>
                <w:sz w:val="20"/>
                <w:szCs w:val="20"/>
              </w:rPr>
              <w:t>’sche</w:t>
            </w:r>
            <w:proofErr w:type="spellEnd"/>
            <w:r w:rsidRPr="00B41916">
              <w:rPr>
                <w:sz w:val="20"/>
                <w:szCs w:val="20"/>
              </w:rPr>
              <w:t xml:space="preserve"> 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-</w:t>
            </w:r>
          </w:p>
        </w:tc>
      </w:tr>
      <w:tr w:rsidR="00D31C95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Stärke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-</w:t>
            </w:r>
          </w:p>
        </w:tc>
      </w:tr>
      <w:tr w:rsidR="00D31C95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332-312-400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273-302+352</w:t>
            </w:r>
          </w:p>
        </w:tc>
      </w:tr>
      <w:tr w:rsidR="00D31C95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Default="00D31C95" w:rsidP="008D36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Kaliumiodid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31C95" w:rsidRPr="00B41916" w:rsidRDefault="00D31C95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1C95" w:rsidRPr="009C5E28" w:rsidTr="008D364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9C5E28" w:rsidRDefault="00D31C95" w:rsidP="008D36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6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9C5E28" w:rsidRDefault="00D31C95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9C5E28" w:rsidRDefault="00D31C95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48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9C5E28" w:rsidRDefault="00D31C95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9C5E28" w:rsidRDefault="00D31C95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9C5E28" w:rsidRDefault="00D31C95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9C5E28" w:rsidRDefault="00D31C95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1C95" w:rsidRPr="009C5E28" w:rsidRDefault="00D31C95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31C95" w:rsidRPr="009C5E28" w:rsidRDefault="00D31C95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C95" w:rsidRDefault="00D31C95" w:rsidP="00D31C95">
      <w:pPr>
        <w:tabs>
          <w:tab w:val="left" w:pos="1701"/>
          <w:tab w:val="left" w:pos="1985"/>
        </w:tabs>
        <w:ind w:left="1980" w:hanging="1980"/>
      </w:pPr>
    </w:p>
    <w:p w:rsidR="00D31C95" w:rsidRDefault="00D31C95" w:rsidP="00D31C9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Bechergläser 300 mL und 500 mL, Reagenzglas, Reagenzglasständer, Pa</w:t>
      </w:r>
      <w:r>
        <w:t>s</w:t>
      </w:r>
      <w:r>
        <w:t>teurpipette, Bunsenbrenner, Dreifuß mit Drahtnetz.</w:t>
      </w:r>
    </w:p>
    <w:p w:rsidR="00D31C95" w:rsidRPr="00ED07C2" w:rsidRDefault="00D31C95" w:rsidP="00D31C9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Stärke, Iod, Kaliumiodid, destilliertes Wasser.</w:t>
      </w:r>
    </w:p>
    <w:p w:rsidR="00D31C95" w:rsidRDefault="00D31C95" w:rsidP="00D31C95">
      <w:pPr>
        <w:tabs>
          <w:tab w:val="left" w:pos="1701"/>
          <w:tab w:val="left" w:pos="1985"/>
        </w:tabs>
        <w:spacing w:after="0"/>
        <w:ind w:left="1980" w:hanging="1980"/>
      </w:pPr>
      <w:r>
        <w:t>Durchführung:</w:t>
      </w:r>
      <w:r>
        <w:tab/>
      </w:r>
      <w:r>
        <w:tab/>
        <w:t xml:space="preserve">Ansetzen der </w:t>
      </w:r>
      <w:proofErr w:type="spellStart"/>
      <w:r w:rsidRPr="00D2194E">
        <w:rPr>
          <w:smallCaps/>
        </w:rPr>
        <w:t>Lugol</w:t>
      </w:r>
      <w:r>
        <w:t>’schen</w:t>
      </w:r>
      <w:proofErr w:type="spellEnd"/>
      <w:r>
        <w:t xml:space="preserve"> Lösung:</w:t>
      </w:r>
    </w:p>
    <w:p w:rsidR="00D31C95" w:rsidRDefault="00D31C95" w:rsidP="00D31C95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In ein 500 mL Becherglas werden 1 g Iod und 2 g Kaliumiodid in 5 mL de</w:t>
      </w:r>
      <w:r>
        <w:t>s</w:t>
      </w:r>
      <w:r>
        <w:t>tilliertem Wasser gelöst. Für den Stärkenachweis muss die Lösung auf 300 mL mit destilliertem Wasser aufgefüllt werden.</w:t>
      </w:r>
    </w:p>
    <w:p w:rsidR="00D31C95" w:rsidRDefault="00D31C95" w:rsidP="00D31C9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In 100 mL destilliertem Wasser wird 1 g Stärke gelöst und für 5 Min. aufg</w:t>
      </w:r>
      <w:r>
        <w:t>e</w:t>
      </w:r>
      <w:r>
        <w:t xml:space="preserve">kocht. Die Lösung wird zum Abkühlen stehen gelassen. Nach dem Abkühlen werden 3 mL in ein Reagenzglas gegeben und mit der </w:t>
      </w:r>
      <w:proofErr w:type="spellStart"/>
      <w:r w:rsidRPr="00D2194E">
        <w:rPr>
          <w:smallCaps/>
        </w:rPr>
        <w:t>Lugol</w:t>
      </w:r>
      <w:r>
        <w:t>’schen</w:t>
      </w:r>
      <w:proofErr w:type="spellEnd"/>
      <w:r>
        <w:t xml:space="preserve"> Lösung versetzt.</w:t>
      </w:r>
    </w:p>
    <w:p w:rsidR="00D31C95" w:rsidRDefault="00D31C95" w:rsidP="00D31C9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Es tritt eine tiefblaue Färbung auf.</w:t>
      </w:r>
    </w:p>
    <w:p w:rsidR="00D31C95" w:rsidRDefault="00D31C95" w:rsidP="00D31C95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479424" cy="905035"/>
            <wp:effectExtent l="0" t="781050" r="0" b="771365"/>
            <wp:docPr id="58" name="Bild 32" descr="C:\Users\Dennis Roggenkämper\AppData\Local\Microsoft\Windows\Temporary Internet Files\Content.Word\IMG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nnis Roggenkämper\AppData\Local\Microsoft\Windows\Temporary Internet Files\Content.Word\IMG_22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292" t="37227" r="26637" b="372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6653" cy="91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C95" w:rsidRPr="00247452" w:rsidRDefault="00D31C95" w:rsidP="00D31C95">
      <w:pPr>
        <w:pStyle w:val="Beschriftung"/>
        <w:jc w:val="center"/>
      </w:pPr>
      <w:r>
        <w:t>Abb. 5</w:t>
      </w:r>
      <w:r w:rsidRPr="00247452">
        <w:t xml:space="preserve"> – </w:t>
      </w:r>
      <w:r>
        <w:rPr>
          <w:noProof/>
        </w:rPr>
        <w:t xml:space="preserve">Nachweis von Stärke mit </w:t>
      </w:r>
      <w:proofErr w:type="spellStart"/>
      <w:r w:rsidRPr="00D2194E">
        <w:rPr>
          <w:smallCaps/>
        </w:rPr>
        <w:t>Lugol</w:t>
      </w:r>
      <w:r>
        <w:t>’scher</w:t>
      </w:r>
      <w:proofErr w:type="spellEnd"/>
      <w:r>
        <w:t xml:space="preserve"> Lösung</w:t>
      </w:r>
      <w:r w:rsidRPr="00247452">
        <w:rPr>
          <w:noProof/>
        </w:rPr>
        <w:t>.</w:t>
      </w:r>
    </w:p>
    <w:p w:rsidR="00D31C95" w:rsidRDefault="00D31C95" w:rsidP="00D31C95">
      <w:pPr>
        <w:tabs>
          <w:tab w:val="left" w:pos="1701"/>
          <w:tab w:val="left" w:pos="1985"/>
        </w:tabs>
        <w:spacing w:after="0"/>
        <w:ind w:left="1985" w:hanging="1985"/>
      </w:pPr>
      <w:r>
        <w:lastRenderedPageBreak/>
        <w:t>Deutung:</w:t>
      </w:r>
      <w:r>
        <w:tab/>
      </w:r>
      <w:r>
        <w:tab/>
        <w:t xml:space="preserve">Durch das </w:t>
      </w:r>
      <w:proofErr w:type="spellStart"/>
      <w:r>
        <w:t>Zusammengeben</w:t>
      </w:r>
      <w:proofErr w:type="spellEnd"/>
      <w:r>
        <w:t xml:space="preserve"> von Iod und Kaliumiodid in wässriger Lösung bildet sich zunächst </w:t>
      </w:r>
      <w:proofErr w:type="spellStart"/>
      <w:r>
        <w:t>Triiodid</w:t>
      </w:r>
      <w:proofErr w:type="spellEnd"/>
      <w:r>
        <w:t xml:space="preserve">. Das </w:t>
      </w:r>
      <w:proofErr w:type="spellStart"/>
      <w:r>
        <w:t>Triiodid</w:t>
      </w:r>
      <w:proofErr w:type="spellEnd"/>
      <w:r>
        <w:t xml:space="preserve"> reagiert mit einem weiteren </w:t>
      </w:r>
      <w:proofErr w:type="spellStart"/>
      <w:r>
        <w:t>Iodmolekül</w:t>
      </w:r>
      <w:proofErr w:type="spellEnd"/>
      <w:r>
        <w:t xml:space="preserve"> zu </w:t>
      </w:r>
      <w:proofErr w:type="spellStart"/>
      <w:r>
        <w:t>Polyiodid</w:t>
      </w:r>
      <w:proofErr w:type="spellEnd"/>
      <w:r>
        <w:t xml:space="preserve"> (I</w:t>
      </w:r>
      <w:r w:rsidRPr="00D02AB7">
        <w:rPr>
          <w:vertAlign w:val="subscript"/>
        </w:rPr>
        <w:t>5</w:t>
      </w:r>
      <w:r w:rsidRPr="00D02AB7">
        <w:rPr>
          <w:vertAlign w:val="superscript"/>
        </w:rPr>
        <w:t>-</w:t>
      </w:r>
      <w:r>
        <w:t>).</w:t>
      </w:r>
    </w:p>
    <w:p w:rsidR="00D31C95" w:rsidRDefault="00D31C95" w:rsidP="00D31C95">
      <w:pPr>
        <w:tabs>
          <w:tab w:val="left" w:pos="1701"/>
          <w:tab w:val="left" w:pos="1985"/>
        </w:tabs>
        <w:spacing w:after="0"/>
        <w:ind w:left="1985" w:hanging="1985"/>
      </w:pPr>
      <w:r>
        <w:tab/>
      </w:r>
      <w:r>
        <w:tab/>
        <w:t>2 I</w:t>
      </w:r>
      <w:r w:rsidRPr="00D02AB7">
        <w:rPr>
          <w:vertAlign w:val="subscript"/>
        </w:rPr>
        <w:t>2</w:t>
      </w:r>
      <w:r>
        <w:t xml:space="preserve">   +   I</w:t>
      </w:r>
      <w:r w:rsidRPr="00D02AB7">
        <w:rPr>
          <w:vertAlign w:val="superscript"/>
        </w:rPr>
        <w:t>-</w:t>
      </w:r>
      <w:r>
        <w:t xml:space="preserve">   ⇌   I</w:t>
      </w:r>
      <w:r w:rsidRPr="00D02AB7">
        <w:rPr>
          <w:vertAlign w:val="subscript"/>
        </w:rPr>
        <w:t>3</w:t>
      </w:r>
      <w:r w:rsidRPr="00D02AB7">
        <w:rPr>
          <w:vertAlign w:val="superscript"/>
        </w:rPr>
        <w:t>-</w:t>
      </w:r>
      <w:r>
        <w:t xml:space="preserve">   +   I</w:t>
      </w:r>
      <w:r w:rsidRPr="00D02AB7">
        <w:rPr>
          <w:vertAlign w:val="subscript"/>
        </w:rPr>
        <w:t>2</w:t>
      </w:r>
      <w:r>
        <w:t xml:space="preserve">   ⇌   I</w:t>
      </w:r>
      <w:r w:rsidRPr="00D02AB7">
        <w:rPr>
          <w:vertAlign w:val="subscript"/>
        </w:rPr>
        <w:t>5</w:t>
      </w:r>
      <w:r w:rsidRPr="00D02AB7">
        <w:rPr>
          <w:vertAlign w:val="superscript"/>
        </w:rPr>
        <w:t>-</w:t>
      </w:r>
    </w:p>
    <w:p w:rsidR="00D31C95" w:rsidRPr="00D02AB7" w:rsidRDefault="00D31C95" w:rsidP="00D31C95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 xml:space="preserve">Das Polymer </w:t>
      </w:r>
      <w:proofErr w:type="spellStart"/>
      <w:r>
        <w:t>Amylose</w:t>
      </w:r>
      <w:proofErr w:type="spellEnd"/>
      <w:r>
        <w:t xml:space="preserve"> besteht aus Glucose-Monomeren, die linear ang</w:t>
      </w:r>
      <w:r>
        <w:t>e</w:t>
      </w:r>
      <w:r>
        <w:t xml:space="preserve">ordnet sind. Bei Raumtemperatur liegt eine Helix mit 6 Glucose-Monomeren im Umfang vor. In diese Helix </w:t>
      </w:r>
      <w:proofErr w:type="spellStart"/>
      <w:r>
        <w:t>intercalieren</w:t>
      </w:r>
      <w:proofErr w:type="spellEnd"/>
      <w:r>
        <w:t xml:space="preserve"> die </w:t>
      </w:r>
      <w:proofErr w:type="spellStart"/>
      <w:r>
        <w:t>Polyiodidionen</w:t>
      </w:r>
      <w:proofErr w:type="spellEnd"/>
      <w:r>
        <w:t>, wodurch die Blaufärbung auftritt.</w:t>
      </w:r>
    </w:p>
    <w:p w:rsidR="00D31C95" w:rsidRDefault="00D31C95" w:rsidP="00D31C95">
      <w:pPr>
        <w:spacing w:line="276" w:lineRule="auto"/>
        <w:ind w:left="1985" w:hanging="1985"/>
        <w:jc w:val="left"/>
      </w:pPr>
      <w:r>
        <w:t>Entsorgung:</w:t>
      </w:r>
      <w:r>
        <w:tab/>
        <w:t>Nach Zugabe von Thiosulfatlösung kann die Probe in den Abfluss gegeben werden.</w:t>
      </w:r>
    </w:p>
    <w:p w:rsidR="00D31C95" w:rsidRPr="00D31C95" w:rsidRDefault="00D31C95" w:rsidP="00D31C95">
      <w:pPr>
        <w:ind w:left="1985" w:hanging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 w:rsidRPr="00573463">
        <w:rPr>
          <w:rFonts w:eastAsiaTheme="minorEastAsia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2.75pt;width:456.25pt;height:21.95pt;z-index:251660288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D31C95" w:rsidRDefault="00D31C95" w:rsidP="00D31C95">
                  <w:r>
                    <w:t xml:space="preserve">Die </w:t>
                  </w:r>
                  <w:proofErr w:type="spellStart"/>
                  <w:r w:rsidRPr="00D2194E">
                    <w:rPr>
                      <w:smallCaps/>
                    </w:rPr>
                    <w:t>Lugol</w:t>
                  </w:r>
                  <w:r>
                    <w:t>’sche</w:t>
                  </w:r>
                  <w:proofErr w:type="spellEnd"/>
                  <w:r>
                    <w:t xml:space="preserve"> Lösung sollte vorher von der Lehrperson angesetzt werden.</w:t>
                  </w:r>
                </w:p>
                <w:p w:rsidR="00D31C95" w:rsidRPr="00530A18" w:rsidRDefault="00D31C95" w:rsidP="00D31C95"/>
              </w:txbxContent>
            </v:textbox>
            <w10:wrap type="square" anchorx="margin"/>
          </v:shape>
        </w:pict>
      </w:r>
      <w:r>
        <w:t>Literatur:</w:t>
      </w:r>
      <w:r>
        <w:tab/>
      </w:r>
      <w:r w:rsidRPr="00D31C95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M. Just, E. Just, O. </w:t>
      </w:r>
      <w:proofErr w:type="spellStart"/>
      <w:r w:rsidRPr="00D31C95">
        <w:rPr>
          <w:rFonts w:ascii="Cambria Math" w:eastAsia="Times New Roman" w:hAnsi="Cambria Math" w:cs="Times New Roman"/>
          <w:color w:val="auto"/>
          <w:szCs w:val="24"/>
          <w:lang w:eastAsia="de-DE"/>
        </w:rPr>
        <w:t>Kownatzki</w:t>
      </w:r>
      <w:proofErr w:type="spellEnd"/>
      <w:r w:rsidRPr="00D31C95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H. </w:t>
      </w:r>
      <w:proofErr w:type="spellStart"/>
      <w:r w:rsidRPr="00D31C95">
        <w:rPr>
          <w:rFonts w:ascii="Cambria Math" w:eastAsia="Times New Roman" w:hAnsi="Cambria Math" w:cs="Times New Roman"/>
          <w:color w:val="auto"/>
          <w:szCs w:val="24"/>
          <w:lang w:eastAsia="de-DE"/>
        </w:rPr>
        <w:t>Keune</w:t>
      </w:r>
      <w:proofErr w:type="spellEnd"/>
      <w:r w:rsidRPr="00D31C95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Eds., </w:t>
      </w:r>
      <w:r w:rsidRPr="00D31C95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Organische Chemie</w:t>
      </w:r>
      <w:r w:rsidRPr="00D31C95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Volk Und Wissen, Berlin, </w:t>
      </w:r>
      <w:r w:rsidRPr="00D31C95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2009</w:t>
      </w:r>
      <w:r w:rsidRPr="00D31C95">
        <w:rPr>
          <w:rFonts w:ascii="Cambria Math" w:eastAsia="Times New Roman" w:hAnsi="Cambria Math" w:cs="Times New Roman"/>
          <w:color w:val="auto"/>
          <w:szCs w:val="24"/>
          <w:lang w:eastAsia="de-DE"/>
        </w:rPr>
        <w:t>. S. 212/213.</w:t>
      </w:r>
    </w:p>
    <w:p w:rsidR="00D31C95" w:rsidRDefault="00D31C95" w:rsidP="00D31C9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2D0ED9" w:rsidRDefault="002D0ED9"/>
    <w:sectPr w:rsidR="002D0ED9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1C95"/>
    <w:rsid w:val="001C0F9C"/>
    <w:rsid w:val="002D0ED9"/>
    <w:rsid w:val="003514D8"/>
    <w:rsid w:val="00717EFF"/>
    <w:rsid w:val="007A4199"/>
    <w:rsid w:val="007E31DB"/>
    <w:rsid w:val="00B6554A"/>
    <w:rsid w:val="00D31C95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1C95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D31C95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C95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1</cp:revision>
  <dcterms:created xsi:type="dcterms:W3CDTF">2015-08-19T10:49:00Z</dcterms:created>
  <dcterms:modified xsi:type="dcterms:W3CDTF">2015-08-19T10:51:00Z</dcterms:modified>
</cp:coreProperties>
</file>