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3A" w:rsidRPr="00AD483A" w:rsidRDefault="00AD483A" w:rsidP="00AD483A">
      <w:pPr>
        <w:rPr>
          <w:b/>
        </w:rPr>
      </w:pPr>
      <w:proofErr w:type="spellStart"/>
      <w:r w:rsidRPr="00AD483A">
        <w:rPr>
          <w:b/>
          <w:smallCaps/>
        </w:rPr>
        <w:t>Seliwanow</w:t>
      </w:r>
      <w:proofErr w:type="spellEnd"/>
      <w:r w:rsidRPr="00AD483A">
        <w:rPr>
          <w:b/>
        </w:rPr>
        <w:t>-Reaktion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D483A" w:rsidRPr="009C5E28" w:rsidTr="008D3643">
        <w:tc>
          <w:tcPr>
            <w:tcW w:w="9322" w:type="dxa"/>
            <w:gridSpan w:val="9"/>
            <w:shd w:val="clear" w:color="auto" w:fill="4F81BD"/>
            <w:vAlign w:val="center"/>
          </w:tcPr>
          <w:p w:rsidR="00AD483A" w:rsidRPr="00F31EBF" w:rsidRDefault="00AD483A" w:rsidP="008D364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D483A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Salzsäure (w = 37 %)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Pr="009C5E28" w:rsidRDefault="00AD483A" w:rsidP="008D364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314-335-290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483A" w:rsidRPr="009C5E28" w:rsidRDefault="00AD483A" w:rsidP="008D364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234-260-305+361+338-303+361+353-304+340-309+311-501.1</w:t>
            </w:r>
          </w:p>
        </w:tc>
      </w:tr>
      <w:tr w:rsidR="00AD483A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Fructose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D483A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Glucose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D483A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Maltose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D483A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Saccharose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D483A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Resorcin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302-319-315-400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483A" w:rsidRDefault="00AD483A" w:rsidP="008D364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P:273-302+352-305+351+338</w:t>
            </w:r>
          </w:p>
        </w:tc>
      </w:tr>
      <w:tr w:rsidR="00AD483A" w:rsidRPr="009C5E28" w:rsidTr="008D364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Pr="009C5E28" w:rsidRDefault="00AD483A" w:rsidP="008D36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Pr="009C5E28" w:rsidRDefault="00AD483A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Pr="009C5E28" w:rsidRDefault="00AD483A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14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Pr="009C5E28" w:rsidRDefault="00AD483A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Pr="009C5E28" w:rsidRDefault="00AD483A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Pr="009C5E28" w:rsidRDefault="00AD483A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1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Pr="009C5E28" w:rsidRDefault="00AD483A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483A" w:rsidRPr="009C5E28" w:rsidRDefault="00AD483A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8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483A" w:rsidRPr="009C5E28" w:rsidRDefault="00AD483A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9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83A" w:rsidRDefault="00AD483A" w:rsidP="00AD483A">
      <w:pPr>
        <w:tabs>
          <w:tab w:val="left" w:pos="1701"/>
          <w:tab w:val="left" w:pos="1985"/>
        </w:tabs>
        <w:ind w:left="1980" w:hanging="1980"/>
      </w:pPr>
    </w:p>
    <w:p w:rsidR="00AD483A" w:rsidRDefault="00AD483A" w:rsidP="00AD483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4 Reagenzgläser, Reagenzglasständer, Pipette, Spatel.</w:t>
      </w:r>
    </w:p>
    <w:p w:rsidR="00AD483A" w:rsidRPr="00ED07C2" w:rsidRDefault="00AD483A" w:rsidP="00AD483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Glucose, Fructose, Maltose, Saccharose, Salzsäure (w = 37 %), </w:t>
      </w:r>
      <w:proofErr w:type="spellStart"/>
      <w:r>
        <w:t>Resorcin</w:t>
      </w:r>
      <w:proofErr w:type="spellEnd"/>
      <w:r>
        <w:t>.</w:t>
      </w:r>
    </w:p>
    <w:p w:rsidR="00AD483A" w:rsidRDefault="00AD483A" w:rsidP="00AD483A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 xml:space="preserve">In den 4 Reagenzgläsern wird jeweils 0,5 g Glucose, Fructose, Maltose und Saccharose vorgelegt. Zu den Proben werden jeweils 2 mL konzentrierte Salzsäure gegeben. Die Proben werden vorsichtig geschüttelt, damit sich die Zucker lösen. Es wird zu jeder Probe eine Spatelspitze </w:t>
      </w:r>
      <w:proofErr w:type="spellStart"/>
      <w:r>
        <w:t>Resorcin</w:t>
      </w:r>
      <w:proofErr w:type="spellEnd"/>
      <w:r>
        <w:t xml:space="preserve"> geg</w:t>
      </w:r>
      <w:r>
        <w:t>e</w:t>
      </w:r>
      <w:r>
        <w:t>ben.</w:t>
      </w:r>
    </w:p>
    <w:p w:rsidR="00AD483A" w:rsidRDefault="00AD483A" w:rsidP="00AD483A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Lösung mit Fructose und Saccharose färbt sich rötlich. Die Lösung mit Glucose und Maltose bleibt farblos.</w:t>
      </w:r>
    </w:p>
    <w:p w:rsidR="00AD483A" w:rsidRDefault="00AD483A" w:rsidP="00AD483A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621113" cy="1406105"/>
            <wp:effectExtent l="19050" t="0" r="7787" b="0"/>
            <wp:docPr id="3" name="Bild 1" descr="C:\Users\Dennis Roggenkämper\Desktop\KH\IMG_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is Roggenkämper\Desktop\KH\IMG_24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56" t="39936" r="21813" b="7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113" cy="140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4F1">
        <w:rPr>
          <w:noProof/>
          <w:lang w:eastAsia="de-DE"/>
        </w:rPr>
        <w:t xml:space="preserve"> </w:t>
      </w:r>
    </w:p>
    <w:p w:rsidR="00AD483A" w:rsidRPr="00247452" w:rsidRDefault="00AD483A" w:rsidP="00AD483A">
      <w:pPr>
        <w:pStyle w:val="Beschriftung"/>
        <w:jc w:val="center"/>
      </w:pPr>
      <w:r>
        <w:t>Abb. 6</w:t>
      </w:r>
      <w:r w:rsidRPr="00247452">
        <w:t xml:space="preserve"> – </w:t>
      </w:r>
      <w:r>
        <w:rPr>
          <w:noProof/>
        </w:rPr>
        <w:t>Die Fructose- (l.) und Saccharose-Lsg. (2. v. l</w:t>
      </w:r>
      <w:r w:rsidRPr="00247452">
        <w:rPr>
          <w:noProof/>
        </w:rPr>
        <w:t>.</w:t>
      </w:r>
      <w:r>
        <w:rPr>
          <w:noProof/>
        </w:rPr>
        <w:t>) färben sich rötlich.</w:t>
      </w:r>
    </w:p>
    <w:p w:rsidR="00AD483A" w:rsidRDefault="00AD483A" w:rsidP="00AD483A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Die Salzsäure katalysiert die Spaltung der Disaccharide. Bei der Spaltung von Saccharose entstehen Glucose und Fructose, bei der Spaltung von Ma</w:t>
      </w:r>
      <w:r>
        <w:t>l</w:t>
      </w:r>
      <w:r>
        <w:t xml:space="preserve">tose entstehen zwei Glucose Monomere. </w:t>
      </w:r>
    </w:p>
    <w:p w:rsidR="00AD483A" w:rsidRDefault="00AD483A" w:rsidP="00AD483A">
      <w:pPr>
        <w:tabs>
          <w:tab w:val="left" w:pos="1701"/>
          <w:tab w:val="left" w:pos="1985"/>
        </w:tabs>
        <w:ind w:left="1985" w:hanging="1985"/>
      </w:pPr>
      <w:r>
        <w:lastRenderedPageBreak/>
        <w:tab/>
      </w:r>
      <w:r>
        <w:tab/>
        <w:t xml:space="preserve">Fructose spaltet unter sauren Bedingungen Wasser ab, wodurch 5-Hydroxymethylfurfural entsteht. 5-Hydroxymethylfurfural bildet mit </w:t>
      </w:r>
      <w:proofErr w:type="spellStart"/>
      <w:r>
        <w:t>Resorcin</w:t>
      </w:r>
      <w:proofErr w:type="spellEnd"/>
      <w:r>
        <w:t xml:space="preserve"> und dem Luftsauerstoff unter Abspaltung von 3 Wassermolekülen einen rötlichen Farbstoff.</w:t>
      </w:r>
    </w:p>
    <w:p w:rsidR="00AD483A" w:rsidRDefault="00AD483A" w:rsidP="00AD483A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>Aldosen, wie Glucose, reagieren nicht nach diesem Mechanismus.</w:t>
      </w:r>
    </w:p>
    <w:p w:rsidR="00AD483A" w:rsidRPr="00C3718B" w:rsidRDefault="00AD483A" w:rsidP="00AD483A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object w:dxaOrig="9967" w:dyaOrig="2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24.3pt" o:ole="">
            <v:imagedata r:id="rId17" o:title=""/>
          </v:shape>
          <o:OLEObject Type="Embed" ProgID="ChemDraw.Document.6.0" ShapeID="_x0000_i1025" DrawAspect="Content" ObjectID="_1501493991" r:id="rId18"/>
        </w:object>
      </w:r>
    </w:p>
    <w:p w:rsidR="00AD483A" w:rsidRDefault="00AD483A" w:rsidP="00AD483A">
      <w:pPr>
        <w:spacing w:line="276" w:lineRule="auto"/>
        <w:ind w:left="1985" w:hanging="1985"/>
        <w:jc w:val="left"/>
      </w:pPr>
      <w:r>
        <w:t>Entsorgung:</w:t>
      </w:r>
      <w:r>
        <w:tab/>
        <w:t>Die Lösungen werden in den Sammelbehälter für organische Farbstoffe gegeben.</w:t>
      </w:r>
    </w:p>
    <w:p w:rsidR="00AD483A" w:rsidRPr="00AD483A" w:rsidRDefault="00AD483A" w:rsidP="00AD483A">
      <w:pPr>
        <w:tabs>
          <w:tab w:val="left" w:pos="1701"/>
          <w:tab w:val="left" w:pos="1985"/>
        </w:tabs>
        <w:ind w:left="1980" w:hanging="1980"/>
        <w:rPr>
          <w:rFonts w:ascii="Cambria Math" w:eastAsia="Times New Roman" w:hAnsi="Cambria Math" w:cs="Times New Roman"/>
          <w:color w:val="auto"/>
          <w:szCs w:val="24"/>
          <w:lang w:eastAsia="de-DE"/>
        </w:rPr>
      </w:pPr>
      <w:r w:rsidRPr="00573463">
        <w:rPr>
          <w:rFonts w:eastAsiaTheme="minorEastAsia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05pt;margin-top:51.6pt;width:456.25pt;height:23.8pt;z-index:251660288;mso-position-horizontal-relative:margin;mso-width-relative:margin;mso-height-relative:margin" strokecolor="#c0504d" strokeweight="1pt">
            <v:stroke dashstyle="dash"/>
            <v:shadow color="#868686"/>
            <v:textbox style="mso-next-textbox:#_x0000_s1026">
              <w:txbxContent>
                <w:p w:rsidR="00AD483A" w:rsidRDefault="00AD483A" w:rsidP="00AD483A">
                  <w:r>
                    <w:t>Der Reaktionsmechanismus ist vom Schwierigkeitsgrad nur für einen Leistungskurs geeignet.</w:t>
                  </w:r>
                </w:p>
                <w:p w:rsidR="00AD483A" w:rsidRPr="00530A18" w:rsidRDefault="00AD483A" w:rsidP="00AD483A"/>
              </w:txbxContent>
            </v:textbox>
            <w10:wrap type="square" anchorx="margin"/>
          </v:shape>
        </w:pict>
      </w:r>
      <w:r w:rsidRPr="00682093">
        <w:t>Literatur:</w:t>
      </w:r>
      <w:r w:rsidRPr="00682093">
        <w:tab/>
      </w:r>
      <w:r>
        <w:tab/>
      </w:r>
      <w:r w:rsidRPr="00AD483A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M. Just, E. Just, O. </w:t>
      </w:r>
      <w:proofErr w:type="spellStart"/>
      <w:r w:rsidRPr="00AD483A">
        <w:rPr>
          <w:rFonts w:ascii="Cambria Math" w:eastAsia="Times New Roman" w:hAnsi="Cambria Math" w:cs="Times New Roman"/>
          <w:color w:val="auto"/>
          <w:szCs w:val="24"/>
          <w:lang w:eastAsia="de-DE"/>
        </w:rPr>
        <w:t>Kownatzki</w:t>
      </w:r>
      <w:proofErr w:type="spellEnd"/>
      <w:r w:rsidRPr="00AD483A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H. </w:t>
      </w:r>
      <w:proofErr w:type="spellStart"/>
      <w:r w:rsidRPr="00AD483A">
        <w:rPr>
          <w:rFonts w:ascii="Cambria Math" w:eastAsia="Times New Roman" w:hAnsi="Cambria Math" w:cs="Times New Roman"/>
          <w:color w:val="auto"/>
          <w:szCs w:val="24"/>
          <w:lang w:eastAsia="de-DE"/>
        </w:rPr>
        <w:t>Keune</w:t>
      </w:r>
      <w:proofErr w:type="spellEnd"/>
      <w:r w:rsidRPr="00AD483A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Eds., </w:t>
      </w:r>
      <w:r w:rsidRPr="00AD483A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>Organische Chemie</w:t>
      </w:r>
      <w:r w:rsidRPr="00AD483A">
        <w:rPr>
          <w:rFonts w:ascii="Cambria Math" w:eastAsia="Times New Roman" w:hAnsi="Cambria Math" w:cs="Times New Roman"/>
          <w:color w:val="auto"/>
          <w:szCs w:val="24"/>
          <w:lang w:eastAsia="de-DE"/>
        </w:rPr>
        <w:t>, Volk Und Wi</w:t>
      </w:r>
      <w:r w:rsidRPr="00AD483A">
        <w:rPr>
          <w:rFonts w:ascii="Cambria Math" w:eastAsia="Times New Roman" w:hAnsi="Cambria Math" w:cs="Times New Roman"/>
          <w:color w:val="auto"/>
          <w:szCs w:val="24"/>
          <w:lang w:eastAsia="de-DE"/>
        </w:rPr>
        <w:t>s</w:t>
      </w:r>
      <w:r w:rsidRPr="00AD483A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sen, Berlin, </w:t>
      </w:r>
      <w:r w:rsidRPr="00AD483A">
        <w:rPr>
          <w:rFonts w:ascii="Cambria Math" w:eastAsia="Times New Roman" w:hAnsi="Cambria Math" w:cs="Times New Roman"/>
          <w:b/>
          <w:bCs/>
          <w:color w:val="auto"/>
          <w:szCs w:val="24"/>
          <w:lang w:eastAsia="de-DE"/>
        </w:rPr>
        <w:t>2009</w:t>
      </w:r>
      <w:r w:rsidRPr="00AD483A">
        <w:rPr>
          <w:rFonts w:ascii="Cambria Math" w:eastAsia="Times New Roman" w:hAnsi="Cambria Math" w:cs="Times New Roman"/>
          <w:color w:val="auto"/>
          <w:szCs w:val="24"/>
          <w:lang w:eastAsia="de-DE"/>
        </w:rPr>
        <w:t>. S. 211.</w:t>
      </w:r>
    </w:p>
    <w:sectPr w:rsidR="00AD483A" w:rsidRPr="00AD483A" w:rsidSect="005B0270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2C" w:rsidRDefault="008B022C" w:rsidP="00AD483A">
      <w:pPr>
        <w:spacing w:after="0" w:line="240" w:lineRule="auto"/>
      </w:pPr>
      <w:r>
        <w:separator/>
      </w:r>
    </w:p>
  </w:endnote>
  <w:endnote w:type="continuationSeparator" w:id="0">
    <w:p w:rsidR="008B022C" w:rsidRDefault="008B022C" w:rsidP="00AD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2C" w:rsidRDefault="008B022C" w:rsidP="00AD483A">
      <w:pPr>
        <w:spacing w:after="0" w:line="240" w:lineRule="auto"/>
      </w:pPr>
      <w:r>
        <w:separator/>
      </w:r>
    </w:p>
  </w:footnote>
  <w:footnote w:type="continuationSeparator" w:id="0">
    <w:p w:rsidR="008B022C" w:rsidRDefault="008B022C" w:rsidP="00AD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D483A"/>
    <w:rsid w:val="002D0ED9"/>
    <w:rsid w:val="003514D8"/>
    <w:rsid w:val="00717EFF"/>
    <w:rsid w:val="007A4199"/>
    <w:rsid w:val="007E31DB"/>
    <w:rsid w:val="008B022C"/>
    <w:rsid w:val="00AD483A"/>
    <w:rsid w:val="00B6554A"/>
    <w:rsid w:val="00E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483A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AD483A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D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83A"/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83A"/>
    <w:rPr>
      <w:rFonts w:ascii="Tahoma" w:hAnsi="Tahoma" w:cs="Tahoma"/>
      <w:smallCaps w:val="0"/>
      <w:color w:val="1D1B11" w:themeColor="background2" w:themeShade="1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AD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D483A"/>
    <w:rPr>
      <w:rFonts w:ascii="Cambria" w:hAnsi="Cambria" w:cstheme="minorBidi"/>
      <w:smallCaps w:val="0"/>
      <w:color w:val="1D1B11" w:themeColor="background2" w:themeShade="1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1</cp:revision>
  <dcterms:created xsi:type="dcterms:W3CDTF">2015-08-19T10:51:00Z</dcterms:created>
  <dcterms:modified xsi:type="dcterms:W3CDTF">2015-08-19T10:53:00Z</dcterms:modified>
</cp:coreProperties>
</file>