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2F778D" w:rsidP="00F31EBF">
      <w:pPr>
        <w:spacing w:line="276" w:lineRule="auto"/>
      </w:pPr>
      <w:r>
        <w:t>Dennis Roggenkämper</w:t>
      </w:r>
    </w:p>
    <w:p w:rsidR="00954DC8" w:rsidRDefault="002F778D" w:rsidP="00F31EBF">
      <w:pPr>
        <w:spacing w:line="276" w:lineRule="auto"/>
      </w:pPr>
      <w:r>
        <w:t>Sommersemester 2015</w:t>
      </w:r>
    </w:p>
    <w:p w:rsidR="00954DC8" w:rsidRDefault="00954DC8" w:rsidP="00F31EBF">
      <w:pPr>
        <w:spacing w:line="276" w:lineRule="auto"/>
      </w:pPr>
      <w:r>
        <w:t xml:space="preserve">Klassenstufen </w:t>
      </w:r>
      <w:r w:rsidR="005B4060">
        <w:t>11</w:t>
      </w:r>
      <w:r w:rsidR="0007729E">
        <w:t xml:space="preserve"> &amp; </w:t>
      </w:r>
      <w:r w:rsidR="005B4060">
        <w:t>12</w:t>
      </w:r>
    </w:p>
    <w:p w:rsidR="008B7FD6" w:rsidRDefault="008B7FD6" w:rsidP="00954DC8"/>
    <w:p w:rsidR="00736B14" w:rsidRDefault="00736B14" w:rsidP="00954DC8"/>
    <w:p w:rsidR="00736B14" w:rsidRDefault="00736B14" w:rsidP="00954DC8"/>
    <w:p w:rsidR="00736B14" w:rsidRDefault="00736B14" w:rsidP="008B7FD6">
      <w:pPr>
        <w:rPr>
          <w:noProof/>
          <w:lang w:eastAsia="de-DE"/>
        </w:rPr>
      </w:pPr>
    </w:p>
    <w:p w:rsidR="005B4060" w:rsidRDefault="005B4060" w:rsidP="00736B14">
      <w:pPr>
        <w:jc w:val="center"/>
        <w:rPr>
          <w:noProof/>
          <w:lang w:eastAsia="de-DE"/>
        </w:rPr>
      </w:pPr>
    </w:p>
    <w:p w:rsidR="008B7FD6" w:rsidRDefault="00697A29" w:rsidP="00736B14">
      <w:pPr>
        <w:jc w:val="center"/>
        <w:rPr>
          <w:rFonts w:ascii="Times New Roman" w:hAnsi="Times New Roman" w:cs="Times New Roman"/>
          <w:sz w:val="52"/>
          <w:szCs w:val="24"/>
        </w:rPr>
      </w:pPr>
      <w:r w:rsidRPr="00697A29"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3" type="#_x0000_t32" style="position:absolute;left:0;text-align:left;margin-left:11.65pt;margin-top:321.1pt;width:426.75pt;height:0;z-index:251810816;mso-position-horizontal-relative:margin" o:connectortype="straight">
            <w10:wrap anchorx="margin"/>
          </v:shape>
        </w:pict>
      </w:r>
      <w:r w:rsidR="00736B14">
        <w:rPr>
          <w:noProof/>
          <w:lang w:eastAsia="de-DE"/>
        </w:rPr>
        <w:drawing>
          <wp:inline distT="0" distB="0" distL="0" distR="0">
            <wp:extent cx="3303694" cy="3960000"/>
            <wp:effectExtent l="342900" t="0" r="334856" b="0"/>
            <wp:docPr id="110" name="Bild 10" descr="C:\Users\Dennis Roggenkämper\AppData\Local\Microsoft\Windows\Temporary Internet Files\Content.Word\IMG_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nnis Roggenkämper\AppData\Local\Microsoft\Windows\Temporary Internet Files\Content.Word\IMG_22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3694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84E" w:rsidRPr="00984EF9" w:rsidRDefault="00912B4F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Kohlenhydra</w:t>
      </w:r>
      <w:r w:rsidR="005B4060">
        <w:rPr>
          <w:rFonts w:asciiTheme="majorHAnsi" w:hAnsiTheme="majorHAnsi" w:cs="Times New Roman"/>
          <w:b/>
          <w:sz w:val="52"/>
          <w:szCs w:val="24"/>
        </w:rPr>
        <w:t>te</w:t>
      </w:r>
    </w:p>
    <w:p w:rsidR="002F778D" w:rsidRDefault="00697A29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54" type="#_x0000_t32" style="position:absolute;left:0;text-align:left;margin-left:11.65pt;margin-top:34.8pt;width:426.75pt;height:0;z-index:251786240" o:connectortype="straight"/>
        </w:pic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:rsidR="002F778D" w:rsidRDefault="002F778D">
      <w:pPr>
        <w:spacing w:line="276" w:lineRule="auto"/>
        <w:jc w:val="left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br w:type="page"/>
      </w:r>
    </w:p>
    <w:p w:rsidR="00A90BD6" w:rsidRDefault="00697A29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77.25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>
              <w:txbxContent>
                <w:p w:rsidR="000A10BD" w:rsidRDefault="000A10BD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0A10BD" w:rsidRPr="00F31EBF" w:rsidRDefault="000A10BD" w:rsidP="004944F3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 xml:space="preserve">Das Kurzprotokoll umfasst vier Lehrer- und </w:t>
                  </w:r>
                  <w:r w:rsidR="003F1D80">
                    <w:rPr>
                      <w:rFonts w:asciiTheme="majorHAnsi" w:hAnsiTheme="majorHAnsi"/>
                      <w:color w:val="auto"/>
                    </w:rPr>
                    <w:t>zwei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Schülerexperimente, die sich mit </w:t>
                  </w:r>
                  <w:r w:rsidR="003F1D80">
                    <w:rPr>
                      <w:rFonts w:asciiTheme="majorHAnsi" w:hAnsiTheme="majorHAnsi"/>
                      <w:color w:val="auto"/>
                    </w:rPr>
                    <w:t>Kohlenhydr</w:t>
                  </w:r>
                  <w:r w:rsidR="003F1D80">
                    <w:rPr>
                      <w:rFonts w:asciiTheme="majorHAnsi" w:hAnsiTheme="majorHAnsi"/>
                      <w:color w:val="auto"/>
                    </w:rPr>
                    <w:t>a</w:t>
                  </w:r>
                  <w:r w:rsidR="003F1D80">
                    <w:rPr>
                      <w:rFonts w:asciiTheme="majorHAnsi" w:hAnsiTheme="majorHAnsi"/>
                      <w:color w:val="auto"/>
                    </w:rPr>
                    <w:t>ten</w:t>
                  </w:r>
                  <w:r>
                    <w:rPr>
                      <w:rFonts w:asciiTheme="majorHAnsi" w:hAnsiTheme="majorHAnsi"/>
                      <w:color w:val="auto"/>
                    </w:rPr>
                    <w:t xml:space="preserve"> beschäftigen.</w:t>
                  </w:r>
                  <w:r w:rsidR="003F1D80">
                    <w:rPr>
                      <w:rFonts w:asciiTheme="majorHAnsi" w:hAnsiTheme="majorHAnsi"/>
                      <w:color w:val="auto"/>
                    </w:rPr>
                    <w:t xml:space="preserve"> Es werden klassische Nachweise und weiterführende Ideen vorgestellt.</w:t>
                  </w:r>
                </w:p>
              </w:txbxContent>
            </v:textbox>
          </v:shape>
        </w:pict>
      </w:r>
    </w:p>
    <w:p w:rsidR="00A90BD6" w:rsidRDefault="00A90BD6" w:rsidP="00A90BD6"/>
    <w:p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 w:rsidP="009D26DA">
          <w:pPr>
            <w:pStyle w:val="Inhaltsverzeichnisberschrift"/>
            <w:spacing w:line="360" w:lineRule="auto"/>
          </w:pPr>
          <w:r w:rsidRPr="00E26180">
            <w:rPr>
              <w:color w:val="auto"/>
            </w:rPr>
            <w:t>Inhalt</w:t>
          </w:r>
        </w:p>
        <w:p w:rsidR="00BE6515" w:rsidRDefault="00697A29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427186483" w:history="1">
            <w:r w:rsidR="00BE6515" w:rsidRPr="002A2EA9">
              <w:rPr>
                <w:rStyle w:val="Hyperlink"/>
                <w:noProof/>
              </w:rPr>
              <w:t>1</w:t>
            </w:r>
            <w:r w:rsidR="00BE6515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E6515" w:rsidRPr="002A2EA9">
              <w:rPr>
                <w:rStyle w:val="Hyperlink"/>
                <w:noProof/>
              </w:rPr>
              <w:t>Weitere Lehrerversuche</w:t>
            </w:r>
            <w:r w:rsidR="00BE65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6515">
              <w:rPr>
                <w:noProof/>
                <w:webHidden/>
              </w:rPr>
              <w:instrText xml:space="preserve"> PAGEREF _Toc427186483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8C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515" w:rsidRDefault="00697A29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484" w:history="1">
            <w:r w:rsidR="00BE6515" w:rsidRPr="002A2EA9">
              <w:rPr>
                <w:rStyle w:val="Hyperlink"/>
                <w:noProof/>
              </w:rPr>
              <w:t>1.1</w:t>
            </w:r>
            <w:r w:rsidR="00BE6515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E6515" w:rsidRPr="002A2EA9">
              <w:rPr>
                <w:rStyle w:val="Hyperlink"/>
                <w:smallCaps/>
                <w:noProof/>
              </w:rPr>
              <w:t xml:space="preserve">V1 </w:t>
            </w:r>
            <w:r w:rsidR="00BE6515" w:rsidRPr="002A2EA9">
              <w:rPr>
                <w:rStyle w:val="Hyperlink"/>
                <w:noProof/>
              </w:rPr>
              <w:t>–</w:t>
            </w:r>
            <w:r w:rsidR="00BE6515" w:rsidRPr="002A2EA9">
              <w:rPr>
                <w:rStyle w:val="Hyperlink"/>
                <w:smallCaps/>
                <w:noProof/>
              </w:rPr>
              <w:t xml:space="preserve"> Barfoed</w:t>
            </w:r>
            <w:r w:rsidR="00BE6515" w:rsidRPr="002A2EA9">
              <w:rPr>
                <w:rStyle w:val="Hyperlink"/>
                <w:noProof/>
              </w:rPr>
              <w:t>-Reagenz – Unterscheidung von Mono- und Disacchariden</w:t>
            </w:r>
            <w:r w:rsidR="00BE65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6515">
              <w:rPr>
                <w:noProof/>
                <w:webHidden/>
              </w:rPr>
              <w:instrText xml:space="preserve"> PAGEREF _Toc427186484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8C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515" w:rsidRDefault="00697A29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485" w:history="1">
            <w:r w:rsidR="00BE6515" w:rsidRPr="002A2EA9">
              <w:rPr>
                <w:rStyle w:val="Hyperlink"/>
                <w:noProof/>
              </w:rPr>
              <w:t>1.2</w:t>
            </w:r>
            <w:r w:rsidR="00BE6515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E6515" w:rsidRPr="002A2EA9">
              <w:rPr>
                <w:rStyle w:val="Hyperlink"/>
                <w:noProof/>
              </w:rPr>
              <w:t>V2 – Hydrolyse von Cellulose</w:t>
            </w:r>
            <w:r w:rsidR="00BE65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6515">
              <w:rPr>
                <w:noProof/>
                <w:webHidden/>
              </w:rPr>
              <w:instrText xml:space="preserve"> PAGEREF _Toc427186485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8C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515" w:rsidRDefault="00697A29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486" w:history="1">
            <w:r w:rsidR="00BE6515" w:rsidRPr="002A2EA9">
              <w:rPr>
                <w:rStyle w:val="Hyperlink"/>
                <w:noProof/>
              </w:rPr>
              <w:t>1.3</w:t>
            </w:r>
            <w:r w:rsidR="00BE6515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E6515" w:rsidRPr="002A2EA9">
              <w:rPr>
                <w:rStyle w:val="Hyperlink"/>
                <w:noProof/>
              </w:rPr>
              <w:t>V3 – Verkohlen von Zucker</w:t>
            </w:r>
            <w:r w:rsidR="00BE65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6515">
              <w:rPr>
                <w:noProof/>
                <w:webHidden/>
              </w:rPr>
              <w:instrText xml:space="preserve"> PAGEREF _Toc427186486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8C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515" w:rsidRDefault="00697A29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487" w:history="1">
            <w:r w:rsidR="00BE6515" w:rsidRPr="002A2EA9">
              <w:rPr>
                <w:rStyle w:val="Hyperlink"/>
                <w:noProof/>
              </w:rPr>
              <w:t>1.4</w:t>
            </w:r>
            <w:r w:rsidR="00BE6515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E6515" w:rsidRPr="002A2EA9">
              <w:rPr>
                <w:rStyle w:val="Hyperlink"/>
                <w:noProof/>
              </w:rPr>
              <w:t xml:space="preserve">V4 – </w:t>
            </w:r>
            <w:r w:rsidR="00BE6515" w:rsidRPr="002A2EA9">
              <w:rPr>
                <w:rStyle w:val="Hyperlink"/>
                <w:smallCaps/>
                <w:noProof/>
              </w:rPr>
              <w:t>Schiffs</w:t>
            </w:r>
            <w:r w:rsidR="00BE6515" w:rsidRPr="002A2EA9">
              <w:rPr>
                <w:rStyle w:val="Hyperlink"/>
                <w:noProof/>
              </w:rPr>
              <w:t xml:space="preserve"> Reagenz</w:t>
            </w:r>
            <w:r w:rsidR="00BE65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6515">
              <w:rPr>
                <w:noProof/>
                <w:webHidden/>
              </w:rPr>
              <w:instrText xml:space="preserve"> PAGEREF _Toc427186487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8C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515" w:rsidRDefault="00697A29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488" w:history="1">
            <w:r w:rsidR="00BE6515" w:rsidRPr="002A2EA9">
              <w:rPr>
                <w:rStyle w:val="Hyperlink"/>
                <w:noProof/>
              </w:rPr>
              <w:t>2</w:t>
            </w:r>
            <w:r w:rsidR="00BE6515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E6515" w:rsidRPr="002A2EA9">
              <w:rPr>
                <w:rStyle w:val="Hyperlink"/>
                <w:noProof/>
              </w:rPr>
              <w:t>Weitere Schülerversuche</w:t>
            </w:r>
            <w:r w:rsidR="00BE65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6515">
              <w:rPr>
                <w:noProof/>
                <w:webHidden/>
              </w:rPr>
              <w:instrText xml:space="preserve"> PAGEREF _Toc427186488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8C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515" w:rsidRDefault="00697A29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489" w:history="1">
            <w:r w:rsidR="00BE6515" w:rsidRPr="002A2EA9">
              <w:rPr>
                <w:rStyle w:val="Hyperlink"/>
                <w:noProof/>
              </w:rPr>
              <w:t>2.1</w:t>
            </w:r>
            <w:r w:rsidR="00BE6515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E6515" w:rsidRPr="002A2EA9">
              <w:rPr>
                <w:rStyle w:val="Hyperlink"/>
                <w:noProof/>
              </w:rPr>
              <w:t xml:space="preserve">V1 – Stärke-Nachweis mit </w:t>
            </w:r>
            <w:r w:rsidR="00BE6515" w:rsidRPr="002A2EA9">
              <w:rPr>
                <w:rStyle w:val="Hyperlink"/>
                <w:smallCaps/>
                <w:noProof/>
              </w:rPr>
              <w:t>Lugol</w:t>
            </w:r>
            <w:r w:rsidR="00BE6515" w:rsidRPr="002A2EA9">
              <w:rPr>
                <w:rStyle w:val="Hyperlink"/>
                <w:noProof/>
              </w:rPr>
              <w:t>’scher Lösung</w:t>
            </w:r>
            <w:r w:rsidR="00BE65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6515">
              <w:rPr>
                <w:noProof/>
                <w:webHidden/>
              </w:rPr>
              <w:instrText xml:space="preserve"> PAGEREF _Toc427186489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8C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6515" w:rsidRDefault="00697A29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490" w:history="1">
            <w:r w:rsidR="00BE6515" w:rsidRPr="002A2EA9">
              <w:rPr>
                <w:rStyle w:val="Hyperlink"/>
                <w:noProof/>
              </w:rPr>
              <w:t>2.2</w:t>
            </w:r>
            <w:r w:rsidR="00BE6515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E6515" w:rsidRPr="002A2EA9">
              <w:rPr>
                <w:rStyle w:val="Hyperlink"/>
                <w:noProof/>
              </w:rPr>
              <w:t xml:space="preserve">V2 – </w:t>
            </w:r>
            <w:r w:rsidR="00BE6515" w:rsidRPr="002A2EA9">
              <w:rPr>
                <w:rStyle w:val="Hyperlink"/>
                <w:smallCaps/>
                <w:noProof/>
              </w:rPr>
              <w:t>Seliwanow</w:t>
            </w:r>
            <w:r w:rsidR="00BE6515" w:rsidRPr="002A2EA9">
              <w:rPr>
                <w:rStyle w:val="Hyperlink"/>
                <w:noProof/>
              </w:rPr>
              <w:t>-Reaktion</w:t>
            </w:r>
            <w:r w:rsidR="00BE651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E6515">
              <w:rPr>
                <w:noProof/>
                <w:webHidden/>
              </w:rPr>
              <w:instrText xml:space="preserve"> PAGEREF _Toc427186490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18C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80" w:rsidRDefault="00697A29" w:rsidP="009D26DA">
          <w:r>
            <w:fldChar w:fldCharType="end"/>
          </w:r>
        </w:p>
      </w:sdtContent>
    </w:sdt>
    <w:p w:rsidR="005B0270" w:rsidRDefault="005B0270" w:rsidP="005B0270"/>
    <w:p w:rsidR="005B0270" w:rsidRPr="005B0270" w:rsidRDefault="005B0270" w:rsidP="005B0270">
      <w:pPr>
        <w:sectPr w:rsidR="005B0270" w:rsidRPr="005B0270" w:rsidSect="00984E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86227B" w:rsidRDefault="00984EF9" w:rsidP="0086227B">
      <w:pPr>
        <w:pStyle w:val="berschrift1"/>
      </w:pPr>
      <w:bookmarkStart w:id="0" w:name="_Toc427186483"/>
      <w:r>
        <w:lastRenderedPageBreak/>
        <w:t xml:space="preserve">Weitere </w:t>
      </w:r>
      <w:r w:rsidR="00977ED8">
        <w:t>Lehrer</w:t>
      </w:r>
      <w:r w:rsidR="00F31EBF">
        <w:t>versuch</w:t>
      </w:r>
      <w:r>
        <w:t>e</w:t>
      </w:r>
      <w:bookmarkEnd w:id="0"/>
    </w:p>
    <w:p w:rsidR="00B32E27" w:rsidRPr="00984EF9" w:rsidRDefault="00697A29" w:rsidP="00B32E27">
      <w:pPr>
        <w:pStyle w:val="berschrift2"/>
      </w:pPr>
      <w:r>
        <w:rPr>
          <w:noProof/>
          <w:lang w:eastAsia="de-DE"/>
        </w:rPr>
        <w:pict>
          <v:shape id="_x0000_s1181" type="#_x0000_t202" style="position:absolute;left:0;text-align:left;margin-left:-.05pt;margin-top:31.45pt;width:462.45pt;height:41.95pt;z-index:251809792;mso-width-relative:margin;mso-height-relative:margin" fillcolor="white [3201]" strokecolor="#4bacc6 [3208]" strokeweight="1pt">
            <v:stroke dashstyle="dash"/>
            <v:shadow color="#868686"/>
            <v:textbox style="mso-next-textbox:#_x0000_s1181">
              <w:txbxContent>
                <w:p w:rsidR="000A10BD" w:rsidRPr="00F31EBF" w:rsidRDefault="000A10BD" w:rsidP="00B32E2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die Reaktivitätsunterschiede der Mono- und Disaccharide zeigen. Es ha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delte sich hierbei um eine </w:t>
                  </w:r>
                  <w:r w:rsidRPr="006C0F5C">
                    <w:rPr>
                      <w:smallCaps/>
                      <w:color w:val="auto"/>
                    </w:rPr>
                    <w:t>Fehling</w:t>
                  </w:r>
                  <w:r>
                    <w:rPr>
                      <w:color w:val="auto"/>
                    </w:rPr>
                    <w:t>-Probe im sauren Milieu.</w:t>
                  </w:r>
                </w:p>
              </w:txbxContent>
            </v:textbox>
            <w10:wrap type="square"/>
          </v:shape>
        </w:pict>
      </w:r>
      <w:bookmarkStart w:id="1" w:name="_Toc427186484"/>
      <w:r w:rsidR="00513B92">
        <w:rPr>
          <w:smallCaps/>
        </w:rPr>
        <w:t xml:space="preserve">V1 </w:t>
      </w:r>
      <w:r w:rsidR="00513B92">
        <w:t>–</w:t>
      </w:r>
      <w:r w:rsidR="00513B92">
        <w:rPr>
          <w:smallCaps/>
        </w:rPr>
        <w:t xml:space="preserve"> </w:t>
      </w:r>
      <w:r w:rsidR="005B4060">
        <w:rPr>
          <w:smallCaps/>
        </w:rPr>
        <w:t>Barfoed</w:t>
      </w:r>
      <w:r w:rsidR="005B4060">
        <w:t>-Reagenz – Unterscheidung von Mono- und Disacchariden</w:t>
      </w:r>
      <w:bookmarkEnd w:id="1"/>
    </w:p>
    <w:p w:rsidR="00B32E27" w:rsidRDefault="00B32E27" w:rsidP="00B32E27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B32E27" w:rsidRPr="009C5E28" w:rsidTr="007A642D">
        <w:tc>
          <w:tcPr>
            <w:tcW w:w="9322" w:type="dxa"/>
            <w:gridSpan w:val="9"/>
            <w:shd w:val="clear" w:color="auto" w:fill="4F81BD"/>
            <w:vAlign w:val="center"/>
          </w:tcPr>
          <w:p w:rsidR="00B32E27" w:rsidRPr="00F31EBF" w:rsidRDefault="00B32E27" w:rsidP="007A642D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B32E27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5B4060" w:rsidRDefault="005B4060" w:rsidP="007A642D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>Kupferacetat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5B4060" w:rsidRDefault="00B32E27" w:rsidP="00B32E27">
            <w:pPr>
              <w:spacing w:after="0"/>
              <w:jc w:val="center"/>
              <w:rPr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 xml:space="preserve">H: </w:t>
            </w:r>
            <w:r w:rsidR="005B4060">
              <w:rPr>
                <w:sz w:val="20"/>
                <w:szCs w:val="20"/>
              </w:rPr>
              <w:t>302-315-319-335-400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2E27" w:rsidRPr="005B4060" w:rsidRDefault="00B32E27" w:rsidP="005B4060">
            <w:pPr>
              <w:spacing w:after="0"/>
              <w:jc w:val="center"/>
              <w:rPr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 xml:space="preserve">P: </w:t>
            </w:r>
            <w:r w:rsidR="005B4060">
              <w:rPr>
                <w:sz w:val="20"/>
                <w:szCs w:val="20"/>
              </w:rPr>
              <w:t>261-273-305+351+338</w:t>
            </w:r>
          </w:p>
        </w:tc>
      </w:tr>
      <w:tr w:rsidR="007A642D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642D" w:rsidRPr="005B4060" w:rsidRDefault="005B4060" w:rsidP="005B4060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Essigsäure (w =30%)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642D" w:rsidRPr="005B4060" w:rsidRDefault="007A642D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>H: 31</w:t>
            </w:r>
            <w:r w:rsidR="005B4060">
              <w:rPr>
                <w:sz w:val="20"/>
                <w:szCs w:val="20"/>
              </w:rPr>
              <w:t>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A642D" w:rsidRPr="005B4060" w:rsidRDefault="007A642D" w:rsidP="005B4060">
            <w:pPr>
              <w:spacing w:after="0"/>
              <w:jc w:val="center"/>
              <w:rPr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 xml:space="preserve">P: </w:t>
            </w:r>
            <w:r w:rsidR="005B4060">
              <w:rPr>
                <w:sz w:val="20"/>
                <w:szCs w:val="20"/>
              </w:rPr>
              <w:t>280-301</w:t>
            </w:r>
            <w:r w:rsidR="002E77C7">
              <w:rPr>
                <w:sz w:val="20"/>
                <w:szCs w:val="20"/>
              </w:rPr>
              <w:t>+</w:t>
            </w:r>
            <w:r w:rsidR="005B4060">
              <w:rPr>
                <w:sz w:val="20"/>
                <w:szCs w:val="20"/>
              </w:rPr>
              <w:t>330</w:t>
            </w:r>
            <w:r w:rsidR="002E77C7">
              <w:rPr>
                <w:sz w:val="20"/>
                <w:szCs w:val="20"/>
              </w:rPr>
              <w:t>+</w:t>
            </w:r>
            <w:r w:rsidR="005B4060">
              <w:rPr>
                <w:sz w:val="20"/>
                <w:szCs w:val="20"/>
              </w:rPr>
              <w:t>331</w:t>
            </w:r>
            <w:r w:rsidR="002E77C7">
              <w:rPr>
                <w:sz w:val="20"/>
                <w:szCs w:val="20"/>
              </w:rPr>
              <w:t>-305+351+338</w:t>
            </w:r>
          </w:p>
        </w:tc>
      </w:tr>
      <w:tr w:rsidR="007A642D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642D" w:rsidRPr="005B4060" w:rsidRDefault="002E77C7" w:rsidP="007A642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7A642D" w:rsidRPr="005B4060" w:rsidRDefault="007A642D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7A642D" w:rsidRPr="005B4060" w:rsidRDefault="007A642D" w:rsidP="007A642D">
            <w:pPr>
              <w:spacing w:after="0"/>
              <w:jc w:val="center"/>
              <w:rPr>
                <w:sz w:val="20"/>
                <w:szCs w:val="20"/>
              </w:rPr>
            </w:pPr>
            <w:r w:rsidRPr="005B4060">
              <w:rPr>
                <w:sz w:val="20"/>
                <w:szCs w:val="20"/>
              </w:rPr>
              <w:t>-</w:t>
            </w:r>
          </w:p>
        </w:tc>
      </w:tr>
      <w:tr w:rsidR="002E77C7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77C7" w:rsidRDefault="002E77C7" w:rsidP="007A642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Fructose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77C7" w:rsidRPr="005B4060" w:rsidRDefault="002E77C7" w:rsidP="007A642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E77C7" w:rsidRPr="005B4060" w:rsidRDefault="002E77C7" w:rsidP="007A642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7C7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77C7" w:rsidRDefault="002E77C7" w:rsidP="007A642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Maltose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77C7" w:rsidRPr="005B4060" w:rsidRDefault="002E77C7" w:rsidP="007A642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E77C7" w:rsidRPr="005B4060" w:rsidRDefault="002E77C7" w:rsidP="007A642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77C7" w:rsidRPr="009C5E28" w:rsidTr="007A642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77C7" w:rsidRDefault="002E77C7" w:rsidP="007A642D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Saccharose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E77C7" w:rsidRPr="005B4060" w:rsidRDefault="002E77C7" w:rsidP="007A642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E77C7" w:rsidRPr="005B4060" w:rsidRDefault="002E77C7" w:rsidP="007A642D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32E27" w:rsidRPr="009C5E28" w:rsidTr="007A642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5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76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7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79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0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1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32E27" w:rsidRPr="009C5E28" w:rsidRDefault="00B32E27" w:rsidP="007A642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2E27" w:rsidRDefault="00B32E27" w:rsidP="00B32E27">
      <w:pPr>
        <w:tabs>
          <w:tab w:val="left" w:pos="1701"/>
          <w:tab w:val="left" w:pos="1985"/>
        </w:tabs>
        <w:ind w:left="1980" w:hanging="1980"/>
      </w:pPr>
    </w:p>
    <w:p w:rsidR="00B32E27" w:rsidRDefault="00B32E27" w:rsidP="00B32E2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2E77C7">
        <w:t>4 Reagenzgläser, 1 Becherglas 250 mL, Erlenmeyerkolben 100 mL, Kristal</w:t>
      </w:r>
      <w:r w:rsidR="002E77C7">
        <w:t>l</w:t>
      </w:r>
      <w:r w:rsidR="002E77C7">
        <w:t xml:space="preserve">schale, </w:t>
      </w:r>
      <w:r w:rsidR="00732193">
        <w:t xml:space="preserve">Messzylinder, </w:t>
      </w:r>
      <w:r w:rsidR="002E77C7">
        <w:t>Trichter, Filterpapier, Bunsenbrenner, Dreifuß mit Drahtnetz</w:t>
      </w:r>
      <w:r w:rsidR="007A642D">
        <w:t>.</w:t>
      </w:r>
    </w:p>
    <w:p w:rsidR="00B32E27" w:rsidRPr="00ED07C2" w:rsidRDefault="00B32E27" w:rsidP="00B32E2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2E77C7">
        <w:t>Kupferacetat, Essigsäure, destilliertes Wasser, Glucose, Fructose, Sacchar</w:t>
      </w:r>
      <w:r w:rsidR="002E77C7">
        <w:t>o</w:t>
      </w:r>
      <w:r w:rsidR="002E77C7">
        <w:t>se, Maltose.</w:t>
      </w:r>
    </w:p>
    <w:p w:rsidR="00732193" w:rsidRDefault="00B32E27" w:rsidP="001E4EB6">
      <w:pPr>
        <w:tabs>
          <w:tab w:val="left" w:pos="1701"/>
          <w:tab w:val="left" w:pos="1985"/>
        </w:tabs>
        <w:spacing w:after="0"/>
        <w:ind w:left="1980" w:hanging="1980"/>
      </w:pPr>
      <w:r>
        <w:t>Durchführung:</w:t>
      </w:r>
      <w:r>
        <w:tab/>
      </w:r>
      <w:r>
        <w:tab/>
      </w:r>
      <w:r w:rsidR="002E77C7">
        <w:t xml:space="preserve">Ansetzen von </w:t>
      </w:r>
      <w:r w:rsidR="002E77C7">
        <w:rPr>
          <w:smallCaps/>
        </w:rPr>
        <w:t>Barfoed</w:t>
      </w:r>
      <w:r w:rsidR="002E77C7">
        <w:t>-Reagenz</w:t>
      </w:r>
      <w:r w:rsidR="00732193">
        <w:t>:</w:t>
      </w:r>
    </w:p>
    <w:p w:rsidR="00B32E27" w:rsidRDefault="00732193" w:rsidP="001E4EB6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In</w:t>
      </w:r>
      <w:r w:rsidR="002E77C7">
        <w:t xml:space="preserve"> 100 mL Wasser </w:t>
      </w:r>
      <w:r>
        <w:t>werden 6,7g Kupferacetat gelöst. D</w:t>
      </w:r>
      <w:r w:rsidR="002E77C7">
        <w:t xml:space="preserve">ie Lösung </w:t>
      </w:r>
      <w:r>
        <w:t xml:space="preserve">wird </w:t>
      </w:r>
      <w:r w:rsidR="002E77C7">
        <w:t>fi</w:t>
      </w:r>
      <w:r w:rsidR="002E77C7">
        <w:t>l</w:t>
      </w:r>
      <w:r>
        <w:t>triert</w:t>
      </w:r>
      <w:r w:rsidR="002E77C7">
        <w:t xml:space="preserve"> und mit 2,5 mL 30</w:t>
      </w:r>
      <w:r w:rsidR="00291EA3">
        <w:t xml:space="preserve"> %-iger Essigsäure versetzt</w:t>
      </w:r>
      <w:r w:rsidR="002E77C7">
        <w:t xml:space="preserve">. </w:t>
      </w:r>
    </w:p>
    <w:p w:rsidR="002E77C7" w:rsidRDefault="002E77C7" w:rsidP="001E4EB6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 w:rsidR="00732193">
        <w:t>Es wird eine Spatelspitze von Glucose, Fructose, Maltose und Saccharose in ein jeweils ein Reagenzglas gegeben und mit 4 mL destilliertem Wasser g</w:t>
      </w:r>
      <w:r w:rsidR="00732193">
        <w:t>e</w:t>
      </w:r>
      <w:r w:rsidR="00732193">
        <w:t xml:space="preserve">löst. Dann wird zu den vier Probelösungen die vierfache Menge an </w:t>
      </w:r>
      <w:r w:rsidR="00732193">
        <w:rPr>
          <w:smallCaps/>
        </w:rPr>
        <w:t>Barfoed</w:t>
      </w:r>
      <w:r w:rsidR="00732193">
        <w:t>-Reagenz gegeben. Die vier Probelösungen werden für 5 Min. in siedendem Wasser erhitzt.</w:t>
      </w:r>
    </w:p>
    <w:p w:rsidR="00CD1ABD" w:rsidRDefault="00B32E27" w:rsidP="00CD1AB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732193">
        <w:t xml:space="preserve">Bei Glucose und bei Fructose bildet sich am Boden des Reagenzglases ein orange-brauner Feststoff. Der orange-braune Feststoff ist ebenfalls an der </w:t>
      </w:r>
      <w:r w:rsidR="00732193">
        <w:lastRenderedPageBreak/>
        <w:t>Phasengrenze zur Luft zu beobachten</w:t>
      </w:r>
      <w:r w:rsidR="005F1720">
        <w:t>.</w:t>
      </w:r>
      <w:r w:rsidR="00732193">
        <w:t xml:space="preserve"> Bei Maltose und Saccharose verä</w:t>
      </w:r>
      <w:r w:rsidR="00732193">
        <w:t>n</w:t>
      </w:r>
      <w:r w:rsidR="00732193">
        <w:t>dert sich die Lösung nicht.</w:t>
      </w:r>
    </w:p>
    <w:p w:rsidR="00B32E27" w:rsidRDefault="00C878D7" w:rsidP="00B32E27">
      <w:pPr>
        <w:keepNext/>
        <w:tabs>
          <w:tab w:val="left" w:pos="1701"/>
          <w:tab w:val="left" w:pos="1985"/>
        </w:tabs>
        <w:ind w:left="1980" w:hanging="1980"/>
        <w:jc w:val="center"/>
      </w:pPr>
      <w:r w:rsidRPr="00C878D7">
        <w:rPr>
          <w:noProof/>
          <w:lang w:eastAsia="de-DE"/>
        </w:rPr>
        <w:drawing>
          <wp:inline distT="0" distB="0" distL="0" distR="0">
            <wp:extent cx="2880000" cy="1680125"/>
            <wp:effectExtent l="19050" t="0" r="0" b="0"/>
            <wp:docPr id="2" name="Bild 17" descr="C:\Users\Dennis Roggenkämper\AppData\Local\Microsoft\Windows\Temporary Internet Files\Content.Word\IMG_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nis Roggenkämper\AppData\Local\Microsoft\Windows\Temporary Internet Files\Content.Word\IMG_2241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8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E27" w:rsidRPr="00247452" w:rsidRDefault="005F1720" w:rsidP="00B32E27">
      <w:pPr>
        <w:pStyle w:val="Beschriftung"/>
        <w:jc w:val="center"/>
      </w:pPr>
      <w:r>
        <w:t>Abb. 1</w:t>
      </w:r>
      <w:r w:rsidR="00B32E27" w:rsidRPr="00247452">
        <w:t xml:space="preserve"> – </w:t>
      </w:r>
      <w:r w:rsidR="00C878D7">
        <w:rPr>
          <w:noProof/>
        </w:rPr>
        <w:t xml:space="preserve">Glucose, Fructose, Maltose und Saccharose mit </w:t>
      </w:r>
      <w:r w:rsidR="00C878D7">
        <w:rPr>
          <w:smallCaps/>
        </w:rPr>
        <w:t>Barfoed</w:t>
      </w:r>
      <w:r w:rsidR="00C878D7">
        <w:t>-Reagenz</w:t>
      </w:r>
      <w:r w:rsidR="00B32E27" w:rsidRPr="00247452">
        <w:rPr>
          <w:noProof/>
        </w:rPr>
        <w:t>.</w:t>
      </w:r>
    </w:p>
    <w:p w:rsidR="00B32E27" w:rsidRDefault="00B32E27" w:rsidP="00B32E27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CD1ABD">
        <w:t>Im sauren Milieu reagieren Monosaccharide wesentlich schneller als Disa</w:t>
      </w:r>
      <w:r w:rsidR="00CD1ABD">
        <w:t>c</w:t>
      </w:r>
      <w:r w:rsidR="00CD1ABD">
        <w:t>charide</w:t>
      </w:r>
      <w:r w:rsidR="00415168">
        <w:t xml:space="preserve"> mit dem Kupferacetat</w:t>
      </w:r>
      <w:r w:rsidR="00CD1ABD">
        <w:t xml:space="preserve">. Es bildet sich rot-braunes Kupfer(I)-oxid durch </w:t>
      </w:r>
      <w:r w:rsidR="00415168">
        <w:t>Reduktion:</w:t>
      </w:r>
    </w:p>
    <w:p w:rsidR="00415168" w:rsidRPr="00415168" w:rsidRDefault="00415168" w:rsidP="00B32E27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</w:r>
      <w:r w:rsidRPr="00415168">
        <w:t xml:space="preserve">R-CHO </w:t>
      </w:r>
      <w:r w:rsidRPr="00415168">
        <w:rPr>
          <w:vertAlign w:val="subscript"/>
        </w:rPr>
        <w:t>(aq)</w:t>
      </w:r>
      <w:r w:rsidRPr="00415168">
        <w:t xml:space="preserve"> </w:t>
      </w:r>
      <w:r>
        <w:t xml:space="preserve"> </w:t>
      </w:r>
      <w:r w:rsidRPr="00415168">
        <w:t xml:space="preserve">+ </w:t>
      </w:r>
      <w:r>
        <w:t xml:space="preserve"> </w:t>
      </w:r>
      <w:r w:rsidRPr="00415168">
        <w:t>2 Cu</w:t>
      </w:r>
      <w:r w:rsidRPr="00415168">
        <w:rPr>
          <w:vertAlign w:val="superscript"/>
        </w:rPr>
        <w:t>2+</w:t>
      </w:r>
      <w:r w:rsidRPr="00415168">
        <w:t xml:space="preserve"> </w:t>
      </w:r>
      <w:r w:rsidRPr="00415168">
        <w:rPr>
          <w:vertAlign w:val="subscript"/>
        </w:rPr>
        <w:t>(aq)</w:t>
      </w:r>
      <w:r w:rsidRPr="00415168">
        <w:t xml:space="preserve">  +  2 H</w:t>
      </w:r>
      <w:r w:rsidRPr="00415168">
        <w:rPr>
          <w:vertAlign w:val="subscript"/>
        </w:rPr>
        <w:t>2</w:t>
      </w:r>
      <w:r w:rsidRPr="00415168">
        <w:t xml:space="preserve">O </w:t>
      </w:r>
      <w:r w:rsidRPr="00415168">
        <w:rPr>
          <w:vertAlign w:val="subscript"/>
        </w:rPr>
        <w:t>(l)</w:t>
      </w:r>
      <w:r w:rsidRPr="00415168">
        <w:t xml:space="preserve">  →  R-COOH </w:t>
      </w:r>
      <w:r w:rsidRPr="00415168">
        <w:rPr>
          <w:vertAlign w:val="subscript"/>
        </w:rPr>
        <w:t>(aq)</w:t>
      </w:r>
      <w:r w:rsidRPr="00415168">
        <w:t xml:space="preserve">  +  Cu</w:t>
      </w:r>
      <w:r w:rsidRPr="00415168">
        <w:rPr>
          <w:vertAlign w:val="subscript"/>
        </w:rPr>
        <w:t>2</w:t>
      </w:r>
      <w:r w:rsidRPr="00415168">
        <w:t xml:space="preserve">O </w:t>
      </w:r>
      <w:r>
        <w:t xml:space="preserve">↓ </w:t>
      </w:r>
      <w:r w:rsidRPr="00415168">
        <w:rPr>
          <w:vertAlign w:val="subscript"/>
        </w:rPr>
        <w:t>(s)</w:t>
      </w:r>
      <w:r w:rsidRPr="00415168">
        <w:t xml:space="preserve">  +  4 H</w:t>
      </w:r>
      <w:r w:rsidRPr="00415168">
        <w:rPr>
          <w:vertAlign w:val="superscript"/>
        </w:rPr>
        <w:t>+</w:t>
      </w:r>
      <w:r w:rsidRPr="00415168">
        <w:t xml:space="preserve"> </w:t>
      </w:r>
      <w:r w:rsidRPr="00415168">
        <w:rPr>
          <w:vertAlign w:val="subscript"/>
        </w:rPr>
        <w:t>(aq)</w:t>
      </w:r>
    </w:p>
    <w:p w:rsidR="00B32E27" w:rsidRDefault="00B32E27" w:rsidP="00B32E27">
      <w:pPr>
        <w:spacing w:line="276" w:lineRule="auto"/>
        <w:ind w:left="1985" w:hanging="1985"/>
        <w:jc w:val="left"/>
      </w:pPr>
      <w:r>
        <w:t>Entsorgung:</w:t>
      </w:r>
      <w:r>
        <w:tab/>
      </w:r>
      <w:r w:rsidR="00C878D7">
        <w:t>Die Lösungen werden in den Schwermetallbehälter gegeben</w:t>
      </w:r>
      <w:r>
        <w:t>.</w:t>
      </w:r>
    </w:p>
    <w:p w:rsidR="006C0F5C" w:rsidRPr="006C0F5C" w:rsidRDefault="00B32E27" w:rsidP="006C0F5C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>
        <w:t>Literatur:</w:t>
      </w:r>
      <w:r>
        <w:tab/>
      </w:r>
      <w:r w:rsidR="006C0F5C" w:rsidRPr="006C0F5C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M. Jäckel, W. Asselborn, Eds., </w:t>
      </w:r>
      <w:r w:rsidR="006C0F5C" w:rsidRPr="006C0F5C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Chemie Heute: Sekundarbereich II</w:t>
      </w:r>
      <w:r w:rsidR="006C0F5C" w:rsidRPr="006C0F5C">
        <w:rPr>
          <w:rFonts w:asciiTheme="majorHAnsi" w:eastAsia="Times New Roman" w:hAnsiTheme="majorHAnsi" w:cs="Times New Roman"/>
          <w:color w:val="auto"/>
          <w:szCs w:val="24"/>
          <w:lang w:eastAsia="de-DE"/>
        </w:rPr>
        <w:t>, Schroedel Schulbuchverl</w:t>
      </w:r>
      <w:r w:rsidR="006C0F5C">
        <w:rPr>
          <w:rFonts w:asciiTheme="majorHAnsi" w:eastAsia="Times New Roman" w:hAnsiTheme="majorHAnsi" w:cs="Times New Roman"/>
          <w:color w:val="auto"/>
          <w:szCs w:val="24"/>
          <w:lang w:eastAsia="de-DE"/>
        </w:rPr>
        <w:t>ag</w:t>
      </w:r>
      <w:r w:rsidR="006C0F5C" w:rsidRPr="006C0F5C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Hannover, </w:t>
      </w:r>
      <w:r w:rsidR="006C0F5C" w:rsidRPr="006C0F5C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1999</w:t>
      </w:r>
      <w:r w:rsidR="006C0F5C" w:rsidRPr="006C0F5C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  <w:r w:rsidR="006C0F5C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S. 373.</w:t>
      </w:r>
    </w:p>
    <w:p w:rsidR="00B32E27" w:rsidRPr="00B32E27" w:rsidRDefault="00B32E27" w:rsidP="00B32E27"/>
    <w:p w:rsidR="008F79B1" w:rsidRPr="00984EF9" w:rsidRDefault="00697A29" w:rsidP="008F79B1">
      <w:pPr>
        <w:pStyle w:val="berschrift2"/>
      </w:pPr>
      <w:r>
        <w:rPr>
          <w:noProof/>
          <w:lang w:eastAsia="de-DE"/>
        </w:rPr>
        <w:pict>
          <v:shape id="_x0000_s1157" type="#_x0000_t202" style="position:absolute;left:0;text-align:left;margin-left:-.05pt;margin-top:31.45pt;width:462.45pt;height:38.8pt;z-index:251788288;mso-width-relative:margin;mso-height-relative:margin" fillcolor="white [3201]" strokecolor="#4bacc6 [3208]" strokeweight="1pt">
            <v:stroke dashstyle="dash"/>
            <v:shadow color="#868686"/>
            <v:textbox style="mso-next-textbox:#_x0000_s1157">
              <w:txbxContent>
                <w:p w:rsidR="000A10BD" w:rsidRPr="00F31EBF" w:rsidRDefault="000A10BD" w:rsidP="008F79B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soll zeigen, dass das Polymer Cellulose aus dem Monomer Glucose aufgebaut ist. </w:t>
                  </w:r>
                </w:p>
              </w:txbxContent>
            </v:textbox>
            <w10:wrap type="square"/>
          </v:shape>
        </w:pict>
      </w:r>
      <w:bookmarkStart w:id="2" w:name="_Toc427186485"/>
      <w:r w:rsidR="00966548">
        <w:t>V2</w:t>
      </w:r>
      <w:r w:rsidR="008F79B1">
        <w:t xml:space="preserve"> – </w:t>
      </w:r>
      <w:r w:rsidR="00B170EE">
        <w:t>Hydrolyse von Cellulose</w:t>
      </w:r>
      <w:bookmarkEnd w:id="2"/>
    </w:p>
    <w:p w:rsidR="008F79B1" w:rsidRDefault="008F79B1" w:rsidP="008F79B1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8F79B1" w:rsidRPr="009C5E28" w:rsidTr="008F79B1">
        <w:tc>
          <w:tcPr>
            <w:tcW w:w="9322" w:type="dxa"/>
            <w:gridSpan w:val="9"/>
            <w:shd w:val="clear" w:color="auto" w:fill="4F81BD"/>
            <w:vAlign w:val="center"/>
          </w:tcPr>
          <w:p w:rsidR="008F79B1" w:rsidRPr="00F31EBF" w:rsidRDefault="008F79B1" w:rsidP="008F79B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8F79B1" w:rsidRPr="009C5E28" w:rsidTr="008F79B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B170EE" w:rsidP="008F79B1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Schwefelsäure (w = 96 %)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170EE" w:rsidRPr="00B170EE" w:rsidRDefault="008F79B1" w:rsidP="00B170EE">
            <w:pPr>
              <w:spacing w:after="0"/>
              <w:jc w:val="center"/>
              <w:rPr>
                <w:sz w:val="20"/>
                <w:szCs w:val="20"/>
              </w:rPr>
            </w:pPr>
            <w:r w:rsidRPr="00B170EE">
              <w:rPr>
                <w:sz w:val="20"/>
                <w:szCs w:val="20"/>
              </w:rPr>
              <w:t xml:space="preserve">H: </w:t>
            </w:r>
            <w:r w:rsidR="00B170EE">
              <w:rPr>
                <w:sz w:val="20"/>
                <w:szCs w:val="20"/>
              </w:rPr>
              <w:t>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79B1" w:rsidRPr="00B170EE" w:rsidRDefault="008F79B1" w:rsidP="00B170EE">
            <w:pPr>
              <w:spacing w:after="0"/>
              <w:jc w:val="center"/>
              <w:rPr>
                <w:sz w:val="20"/>
                <w:szCs w:val="20"/>
              </w:rPr>
            </w:pPr>
            <w:r w:rsidRPr="00B170EE">
              <w:rPr>
                <w:sz w:val="20"/>
                <w:szCs w:val="20"/>
              </w:rPr>
              <w:t xml:space="preserve">P: </w:t>
            </w:r>
            <w:r w:rsidR="00B170EE">
              <w:rPr>
                <w:sz w:val="20"/>
                <w:szCs w:val="20"/>
              </w:rPr>
              <w:t>280-301+330+331-305+351+338</w:t>
            </w:r>
            <w:r w:rsidR="0012305A">
              <w:rPr>
                <w:sz w:val="20"/>
                <w:szCs w:val="20"/>
              </w:rPr>
              <w:t>-309+310</w:t>
            </w:r>
          </w:p>
        </w:tc>
      </w:tr>
      <w:tr w:rsidR="0012305A" w:rsidRPr="009C5E28" w:rsidTr="008F79B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305A" w:rsidRDefault="0012305A" w:rsidP="008F79B1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Natronlauge</w:t>
            </w:r>
            <w:r w:rsidR="003D60B9">
              <w:rPr>
                <w:sz w:val="20"/>
              </w:rPr>
              <w:t xml:space="preserve"> (w = 45 %)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305A" w:rsidRPr="00B170EE" w:rsidRDefault="0012305A" w:rsidP="00B170E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305A" w:rsidRPr="00B170EE" w:rsidRDefault="0012305A" w:rsidP="00B170E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280-301+330+331-305+351+338-308+310</w:t>
            </w:r>
          </w:p>
        </w:tc>
      </w:tr>
      <w:tr w:rsidR="0012305A" w:rsidRPr="009C5E28" w:rsidTr="008F79B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305A" w:rsidRDefault="0012305A" w:rsidP="008F79B1">
            <w:pPr>
              <w:spacing w:after="0" w:line="276" w:lineRule="auto"/>
              <w:jc w:val="center"/>
              <w:rPr>
                <w:sz w:val="20"/>
              </w:rPr>
            </w:pPr>
            <w:r w:rsidRPr="0012305A">
              <w:rPr>
                <w:smallCaps/>
              </w:rPr>
              <w:t>Fehling</w:t>
            </w:r>
            <w:r>
              <w:rPr>
                <w:sz w:val="20"/>
              </w:rPr>
              <w:t xml:space="preserve"> I-Lösung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305A" w:rsidRPr="00B170EE" w:rsidRDefault="0012305A" w:rsidP="00B170E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305A" w:rsidRPr="00B170EE" w:rsidRDefault="0012305A" w:rsidP="00B170E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273-501</w:t>
            </w:r>
          </w:p>
        </w:tc>
      </w:tr>
      <w:tr w:rsidR="0012305A" w:rsidRPr="009C5E28" w:rsidTr="008F79B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305A" w:rsidRDefault="0012305A" w:rsidP="008F79B1">
            <w:pPr>
              <w:spacing w:after="0" w:line="276" w:lineRule="auto"/>
              <w:jc w:val="center"/>
              <w:rPr>
                <w:sz w:val="20"/>
              </w:rPr>
            </w:pPr>
            <w:r w:rsidRPr="0012305A">
              <w:rPr>
                <w:smallCaps/>
              </w:rPr>
              <w:t>Fehling</w:t>
            </w:r>
            <w:r>
              <w:rPr>
                <w:sz w:val="20"/>
              </w:rPr>
              <w:t xml:space="preserve"> II-Lösung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2305A" w:rsidRPr="00B170EE" w:rsidRDefault="0012305A" w:rsidP="00B170E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2305A" w:rsidRPr="00B170EE" w:rsidRDefault="0012305A" w:rsidP="00B170E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280-305+351+338-310</w:t>
            </w:r>
          </w:p>
        </w:tc>
      </w:tr>
      <w:tr w:rsidR="008F79B1" w:rsidRPr="009C5E28" w:rsidTr="008F79B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11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3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3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6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79B1" w:rsidRPr="009C5E28" w:rsidRDefault="008F79B1" w:rsidP="008F79B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9B1" w:rsidRDefault="008F79B1" w:rsidP="008F79B1">
      <w:pPr>
        <w:tabs>
          <w:tab w:val="left" w:pos="1701"/>
          <w:tab w:val="left" w:pos="1985"/>
        </w:tabs>
        <w:ind w:left="1980" w:hanging="1980"/>
      </w:pPr>
    </w:p>
    <w:p w:rsidR="008F79B1" w:rsidRDefault="008F79B1" w:rsidP="008F79B1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Materialien: </w:t>
      </w:r>
      <w:r>
        <w:tab/>
      </w:r>
      <w:r>
        <w:tab/>
      </w:r>
      <w:r w:rsidR="0012305A">
        <w:t>Reagenzglas, Glasstab. Pasteurpipette, Kristallschale, Bunsenbrenner, Dre</w:t>
      </w:r>
      <w:r w:rsidR="0012305A">
        <w:t>i</w:t>
      </w:r>
      <w:r w:rsidR="0012305A">
        <w:t>fuß mit Drahtnetz, Stativ, Indikatorpapier, Watte.</w:t>
      </w:r>
    </w:p>
    <w:p w:rsidR="008F79B1" w:rsidRPr="00ED07C2" w:rsidRDefault="008F79B1" w:rsidP="0012305A">
      <w:pPr>
        <w:tabs>
          <w:tab w:val="left" w:pos="1701"/>
          <w:tab w:val="left" w:pos="1985"/>
          <w:tab w:val="left" w:pos="3304"/>
        </w:tabs>
        <w:ind w:left="1980" w:hanging="1980"/>
      </w:pPr>
      <w:r>
        <w:t>Chemikalien:</w:t>
      </w:r>
      <w:r>
        <w:tab/>
      </w:r>
      <w:r>
        <w:tab/>
      </w:r>
      <w:r w:rsidR="0012305A">
        <w:t>Schwefelsäure</w:t>
      </w:r>
      <w:r w:rsidR="00DE636A">
        <w:t xml:space="preserve"> (</w:t>
      </w:r>
      <w:r w:rsidR="002C50D4">
        <w:t xml:space="preserve">w = </w:t>
      </w:r>
      <w:r w:rsidR="0012305A">
        <w:t xml:space="preserve">96 </w:t>
      </w:r>
      <w:r w:rsidR="002C50D4">
        <w:t>%</w:t>
      </w:r>
      <w:r w:rsidR="00DE636A">
        <w:t xml:space="preserve">), </w:t>
      </w:r>
      <w:r w:rsidR="0012305A">
        <w:t xml:space="preserve">Natronlauge </w:t>
      </w:r>
      <w:r w:rsidR="003D60B9">
        <w:t>(w = 45 %)</w:t>
      </w:r>
      <w:r w:rsidR="0012305A">
        <w:t xml:space="preserve">, </w:t>
      </w:r>
      <w:r w:rsidR="0012305A" w:rsidRPr="0012305A">
        <w:rPr>
          <w:smallCaps/>
        </w:rPr>
        <w:t>Fehling</w:t>
      </w:r>
      <w:r w:rsidR="0012305A">
        <w:t>-Lösung I+II</w:t>
      </w:r>
      <w:r w:rsidR="001469FD">
        <w:t>, destilliertes Wasser.</w:t>
      </w:r>
    </w:p>
    <w:p w:rsidR="008F79B1" w:rsidRDefault="002C50D4" w:rsidP="008F79B1">
      <w:pPr>
        <w:tabs>
          <w:tab w:val="left" w:pos="1701"/>
          <w:tab w:val="left" w:pos="1985"/>
        </w:tabs>
        <w:ind w:left="1980" w:hanging="1980"/>
      </w:pPr>
      <w:r>
        <w:t>Durchführung:</w:t>
      </w:r>
      <w:r w:rsidR="008F79B1">
        <w:tab/>
      </w:r>
      <w:r w:rsidR="008F79B1">
        <w:tab/>
      </w:r>
      <w:r w:rsidR="0012305A">
        <w:t>In ein Reagenzglas wird ein kleiner W</w:t>
      </w:r>
      <w:r w:rsidR="001469FD">
        <w:t>attebausch gegeben und mit 1 mL konzentrierter Schwefelsäure versetzt. Mit einem Glasstab wird die Watte zer</w:t>
      </w:r>
      <w:r w:rsidR="003D60B9">
        <w:t>rieben</w:t>
      </w:r>
      <w:r w:rsidR="001469FD">
        <w:t xml:space="preserve">. Mit einer Pasteurpipette werden </w:t>
      </w:r>
      <w:r w:rsidR="001469FD" w:rsidRPr="001469FD">
        <w:rPr>
          <w:b/>
        </w:rPr>
        <w:t>vorsichtig</w:t>
      </w:r>
      <w:r w:rsidR="001469FD">
        <w:t xml:space="preserve"> 10 mL destilliertes Wasser in das Reagenzglas geben (an Wand herunterlaufen lassen). Die Probe wird für 10 Min. in ein siedendes Wasserbad gestellt und anschli</w:t>
      </w:r>
      <w:r w:rsidR="001469FD">
        <w:t>e</w:t>
      </w:r>
      <w:r w:rsidR="001469FD">
        <w:t xml:space="preserve">ßend mit </w:t>
      </w:r>
      <w:r w:rsidR="003D60B9">
        <w:t xml:space="preserve">ca. 2 mL </w:t>
      </w:r>
      <w:r w:rsidR="001469FD">
        <w:t>Natronlauge neutralisiert. 2 mL der neutralisierten Pr</w:t>
      </w:r>
      <w:r w:rsidR="001469FD">
        <w:t>o</w:t>
      </w:r>
      <w:r w:rsidR="001469FD">
        <w:t xml:space="preserve">be werden mit 4 mL der </w:t>
      </w:r>
      <w:r w:rsidR="001469FD" w:rsidRPr="0012305A">
        <w:rPr>
          <w:smallCaps/>
        </w:rPr>
        <w:t>Fehling</w:t>
      </w:r>
      <w:r w:rsidR="001469FD">
        <w:rPr>
          <w:smallCaps/>
        </w:rPr>
        <w:t>-</w:t>
      </w:r>
      <w:r w:rsidR="001469FD" w:rsidRPr="001469FD">
        <w:t>Reagenz versetzt</w:t>
      </w:r>
      <w:r w:rsidR="001469FD">
        <w:t xml:space="preserve"> (</w:t>
      </w:r>
      <w:r w:rsidR="001469FD" w:rsidRPr="0012305A">
        <w:rPr>
          <w:smallCaps/>
        </w:rPr>
        <w:t>Fehling</w:t>
      </w:r>
      <w:r w:rsidR="001469FD">
        <w:t xml:space="preserve"> I und II im Ve</w:t>
      </w:r>
      <w:r w:rsidR="001469FD">
        <w:t>r</w:t>
      </w:r>
      <w:r w:rsidR="001469FD">
        <w:t>hältnis 1:1). Die Lösung wird erhitzt bis eine Farbänderung auftritt.</w:t>
      </w:r>
    </w:p>
    <w:p w:rsidR="008F79B1" w:rsidRDefault="008F79B1" w:rsidP="008F79B1">
      <w:pPr>
        <w:tabs>
          <w:tab w:val="left" w:pos="1701"/>
          <w:tab w:val="left" w:pos="1985"/>
        </w:tabs>
        <w:ind w:left="1980" w:hanging="1980"/>
      </w:pPr>
      <w:r>
        <w:t>Beo</w:t>
      </w:r>
      <w:r w:rsidR="002C50D4">
        <w:t>bachtung:</w:t>
      </w:r>
      <w:r w:rsidR="002C50D4">
        <w:tab/>
      </w:r>
      <w:r w:rsidR="002C50D4">
        <w:tab/>
      </w:r>
      <w:r w:rsidR="001469FD">
        <w:t>Die Watte löst sich in Schwefelsäure und es entsteht eine schwarz/graue Lösung</w:t>
      </w:r>
      <w:r w:rsidR="002C50D4">
        <w:t>.</w:t>
      </w:r>
      <w:r w:rsidR="001469FD">
        <w:t xml:space="preserve"> Durch versetzten der Probe mit </w:t>
      </w:r>
      <w:r w:rsidR="001469FD" w:rsidRPr="0012305A">
        <w:rPr>
          <w:smallCaps/>
        </w:rPr>
        <w:t>Fehling</w:t>
      </w:r>
      <w:r w:rsidR="001469FD">
        <w:rPr>
          <w:smallCaps/>
        </w:rPr>
        <w:t>-</w:t>
      </w:r>
      <w:r w:rsidR="001469FD">
        <w:t>Reagenz tritt eine orange Färbung im Reagenzglas auf.</w:t>
      </w:r>
    </w:p>
    <w:p w:rsidR="008F79B1" w:rsidRDefault="00247452" w:rsidP="008F79B1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800000" cy="952604"/>
            <wp:effectExtent l="0" t="419100" r="0" b="399946"/>
            <wp:docPr id="31" name="Bild 17" descr="C:\Users\Dennis Roggenkämper\AppData\Local\Microsoft\Windows\Temporary Internet Files\Content.Word\IMG_2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Dennis Roggenkämper\AppData\Local\Microsoft\Windows\Temporary Internet Files\Content.Word\IMG_224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95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9B1" w:rsidRPr="00247452" w:rsidRDefault="008F79B1" w:rsidP="008F79B1">
      <w:pPr>
        <w:pStyle w:val="Beschriftung"/>
        <w:jc w:val="center"/>
      </w:pPr>
      <w:r w:rsidRPr="00247452">
        <w:t xml:space="preserve">Abb. </w:t>
      </w:r>
      <w:r w:rsidR="00247452" w:rsidRPr="00247452">
        <w:t>2</w:t>
      </w:r>
      <w:r w:rsidRPr="00247452">
        <w:t xml:space="preserve"> </w:t>
      </w:r>
      <w:r w:rsidR="00247452" w:rsidRPr="00247452">
        <w:t>–</w:t>
      </w:r>
      <w:r w:rsidRPr="00247452">
        <w:t xml:space="preserve"> </w:t>
      </w:r>
      <w:r w:rsidR="001E06C9" w:rsidRPr="0012305A">
        <w:rPr>
          <w:smallCaps/>
        </w:rPr>
        <w:t>Fehling</w:t>
      </w:r>
      <w:r w:rsidR="001E06C9">
        <w:rPr>
          <w:smallCaps/>
        </w:rPr>
        <w:t>-</w:t>
      </w:r>
      <w:r w:rsidR="001E06C9">
        <w:t>Probe</w:t>
      </w:r>
      <w:r w:rsidRPr="00247452">
        <w:rPr>
          <w:noProof/>
        </w:rPr>
        <w:t>.</w:t>
      </w:r>
    </w:p>
    <w:p w:rsidR="008F79B1" w:rsidRDefault="008F79B1" w:rsidP="008F79B1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6C0F5C">
        <w:t>In Anwesenheit von Säure und Wasser wird das Polymer Cellulose hydrol</w:t>
      </w:r>
      <w:r w:rsidR="006C0F5C">
        <w:t>y</w:t>
      </w:r>
      <w:r w:rsidR="006C0F5C">
        <w:t>tisch gespalten</w:t>
      </w:r>
      <w:r w:rsidR="00A1501E">
        <w:t>, wobei die Schwefelsäure katalytisch wirkt. Es entstehen die Glucose</w:t>
      </w:r>
      <w:r w:rsidR="003F3270">
        <w:t>-M</w:t>
      </w:r>
      <w:r w:rsidR="00A1501E">
        <w:t>onomere.</w:t>
      </w:r>
    </w:p>
    <w:p w:rsidR="00D018F8" w:rsidRPr="00291EA3" w:rsidRDefault="00D018F8" w:rsidP="008F79B1">
      <w:pPr>
        <w:tabs>
          <w:tab w:val="left" w:pos="1701"/>
          <w:tab w:val="left" w:pos="1985"/>
        </w:tabs>
        <w:ind w:left="1985" w:hanging="1985"/>
        <w:rPr>
          <w:rFonts w:eastAsiaTheme="minorEastAsia"/>
          <w:lang w:val="en-US"/>
        </w:rPr>
      </w:pPr>
      <w:r>
        <w:tab/>
      </w:r>
      <w:r>
        <w:tab/>
      </w:r>
      <w:r w:rsidR="00A1501E" w:rsidRPr="00291EA3">
        <w:rPr>
          <w:lang w:val="en-US"/>
        </w:rPr>
        <w:t>(C</w:t>
      </w:r>
      <w:r w:rsidR="00A1501E" w:rsidRPr="00291EA3">
        <w:rPr>
          <w:vertAlign w:val="subscript"/>
          <w:lang w:val="en-US"/>
        </w:rPr>
        <w:t>6</w:t>
      </w:r>
      <w:r w:rsidR="00A1501E" w:rsidRPr="00291EA3">
        <w:rPr>
          <w:lang w:val="en-US"/>
        </w:rPr>
        <w:t>H</w:t>
      </w:r>
      <w:r w:rsidR="00A1501E" w:rsidRPr="00291EA3">
        <w:rPr>
          <w:vertAlign w:val="subscript"/>
          <w:lang w:val="en-US"/>
        </w:rPr>
        <w:t>1</w:t>
      </w:r>
      <w:r w:rsidR="00291EA3" w:rsidRPr="00291EA3">
        <w:rPr>
          <w:vertAlign w:val="subscript"/>
          <w:lang w:val="en-US"/>
        </w:rPr>
        <w:t>0</w:t>
      </w:r>
      <w:r w:rsidR="00A1501E" w:rsidRPr="00291EA3">
        <w:rPr>
          <w:lang w:val="en-US"/>
        </w:rPr>
        <w:t>O</w:t>
      </w:r>
      <w:r w:rsidR="00291EA3" w:rsidRPr="00291EA3">
        <w:rPr>
          <w:vertAlign w:val="subscript"/>
          <w:lang w:val="en-US"/>
        </w:rPr>
        <w:t>5</w:t>
      </w:r>
      <w:r w:rsidR="00A1501E" w:rsidRPr="00291EA3">
        <w:rPr>
          <w:lang w:val="en-US"/>
        </w:rPr>
        <w:t>)</w:t>
      </w:r>
      <w:r w:rsidR="00A1501E" w:rsidRPr="00291EA3">
        <w:rPr>
          <w:vertAlign w:val="subscript"/>
          <w:lang w:val="en-US"/>
        </w:rPr>
        <w:t>n</w:t>
      </w:r>
      <w:r w:rsidRPr="00291EA3">
        <w:rPr>
          <w:lang w:val="en-US"/>
        </w:rPr>
        <w:t xml:space="preserve"> </w:t>
      </w:r>
      <w:r w:rsidRPr="00291EA3">
        <w:rPr>
          <w:vertAlign w:val="subscript"/>
          <w:lang w:val="en-US"/>
        </w:rPr>
        <w:t>(s)</w:t>
      </w:r>
      <w:r w:rsidRPr="00291EA3">
        <w:rPr>
          <w:lang w:val="en-US"/>
        </w:rPr>
        <w:t xml:space="preserve">   +   </w:t>
      </w:r>
      <w:r w:rsidR="00291EA3" w:rsidRPr="00291EA3">
        <w:rPr>
          <w:lang w:val="en-US"/>
        </w:rPr>
        <w:t>(</w:t>
      </w:r>
      <w:r w:rsidR="00A1501E" w:rsidRPr="00291EA3">
        <w:rPr>
          <w:lang w:val="en-US"/>
        </w:rPr>
        <w:t>n</w:t>
      </w:r>
      <w:r w:rsidR="00291EA3" w:rsidRPr="00291EA3">
        <w:rPr>
          <w:lang w:val="en-US"/>
        </w:rPr>
        <w:softHyphen/>
        <w:t>1)</w:t>
      </w:r>
      <w:r w:rsidR="00A1501E" w:rsidRPr="00291EA3">
        <w:rPr>
          <w:lang w:val="en-US"/>
        </w:rPr>
        <w:t xml:space="preserve"> H</w:t>
      </w:r>
      <w:r w:rsidR="00A1501E" w:rsidRPr="00291EA3">
        <w:rPr>
          <w:vertAlign w:val="subscript"/>
          <w:lang w:val="en-US"/>
        </w:rPr>
        <w:t>2</w:t>
      </w:r>
      <w:r w:rsidR="00A1501E" w:rsidRPr="00291EA3">
        <w:rPr>
          <w:lang w:val="en-US"/>
        </w:rPr>
        <w:t xml:space="preserve">O </w:t>
      </w:r>
      <w:r w:rsidR="00A1501E" w:rsidRPr="00291EA3">
        <w:rPr>
          <w:vertAlign w:val="subscript"/>
          <w:lang w:val="en-US"/>
        </w:rPr>
        <w:t>(l)</w:t>
      </w:r>
      <w:r w:rsidRPr="00291EA3">
        <w:rPr>
          <w:lang w:val="en-US"/>
        </w:rPr>
        <w:t xml:space="preserve">   →   </w:t>
      </w:r>
      <w:r w:rsidR="00A1501E" w:rsidRPr="00291EA3">
        <w:rPr>
          <w:lang w:val="en-US"/>
        </w:rPr>
        <w:t>n (C</w:t>
      </w:r>
      <w:r w:rsidR="00A1501E" w:rsidRPr="00291EA3">
        <w:rPr>
          <w:vertAlign w:val="subscript"/>
          <w:lang w:val="en-US"/>
        </w:rPr>
        <w:t>6</w:t>
      </w:r>
      <w:r w:rsidR="00A1501E" w:rsidRPr="00291EA3">
        <w:rPr>
          <w:lang w:val="en-US"/>
        </w:rPr>
        <w:t>H</w:t>
      </w:r>
      <w:r w:rsidR="00A1501E" w:rsidRPr="00291EA3">
        <w:rPr>
          <w:vertAlign w:val="subscript"/>
          <w:lang w:val="en-US"/>
        </w:rPr>
        <w:t>12</w:t>
      </w:r>
      <w:r w:rsidR="00A1501E" w:rsidRPr="00291EA3">
        <w:rPr>
          <w:lang w:val="en-US"/>
        </w:rPr>
        <w:t>O</w:t>
      </w:r>
      <w:r w:rsidR="00A1501E" w:rsidRPr="00291EA3">
        <w:rPr>
          <w:vertAlign w:val="subscript"/>
          <w:lang w:val="en-US"/>
        </w:rPr>
        <w:t>6</w:t>
      </w:r>
      <w:r w:rsidR="00A1501E" w:rsidRPr="00291EA3">
        <w:rPr>
          <w:lang w:val="en-US"/>
        </w:rPr>
        <w:t xml:space="preserve">) </w:t>
      </w:r>
      <w:r w:rsidR="00A1501E" w:rsidRPr="00291EA3">
        <w:rPr>
          <w:vertAlign w:val="subscript"/>
          <w:lang w:val="en-US"/>
        </w:rPr>
        <w:t>(s)</w:t>
      </w:r>
    </w:p>
    <w:p w:rsidR="008F79B1" w:rsidRDefault="008F79B1" w:rsidP="008F79B1">
      <w:pPr>
        <w:spacing w:line="276" w:lineRule="auto"/>
        <w:ind w:left="1985" w:hanging="1985"/>
        <w:jc w:val="left"/>
      </w:pPr>
      <w:r>
        <w:t>Entsorgung:</w:t>
      </w:r>
      <w:r>
        <w:tab/>
      </w:r>
      <w:r w:rsidR="001804EB">
        <w:t>Die Probe wird im Abfluss entsorgt</w:t>
      </w:r>
      <w:r>
        <w:t>.</w:t>
      </w:r>
    </w:p>
    <w:p w:rsidR="001804EB" w:rsidRPr="006C0F5C" w:rsidRDefault="00D018F8" w:rsidP="001804EB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>
        <w:t>Literatur:</w:t>
      </w:r>
      <w:r>
        <w:tab/>
      </w:r>
      <w:r w:rsidR="001804EB" w:rsidRPr="006C0F5C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M. Jäckel, W. Asselborn, Eds., </w:t>
      </w:r>
      <w:r w:rsidR="001804EB" w:rsidRPr="006C0F5C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Chemie Heute: Sekundarbereich II</w:t>
      </w:r>
      <w:r w:rsidR="001804EB" w:rsidRPr="006C0F5C">
        <w:rPr>
          <w:rFonts w:asciiTheme="majorHAnsi" w:eastAsia="Times New Roman" w:hAnsiTheme="majorHAnsi" w:cs="Times New Roman"/>
          <w:color w:val="auto"/>
          <w:szCs w:val="24"/>
          <w:lang w:eastAsia="de-DE"/>
        </w:rPr>
        <w:t>, Schroedel Schulbuchverl</w:t>
      </w:r>
      <w:r w:rsidR="001804EB">
        <w:rPr>
          <w:rFonts w:asciiTheme="majorHAnsi" w:eastAsia="Times New Roman" w:hAnsiTheme="majorHAnsi" w:cs="Times New Roman"/>
          <w:color w:val="auto"/>
          <w:szCs w:val="24"/>
          <w:lang w:eastAsia="de-DE"/>
        </w:rPr>
        <w:t>ag</w:t>
      </w:r>
      <w:r w:rsidR="001804EB" w:rsidRPr="006C0F5C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Hannover, </w:t>
      </w:r>
      <w:r w:rsidR="001804EB" w:rsidRPr="006C0F5C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1999</w:t>
      </w:r>
      <w:r w:rsidR="001804EB" w:rsidRPr="006C0F5C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  <w:r w:rsidR="001804EB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S. 373.</w:t>
      </w:r>
    </w:p>
    <w:p w:rsidR="008F79B1" w:rsidRPr="00D018F8" w:rsidRDefault="008F79B1" w:rsidP="00D018F8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</w:p>
    <w:p w:rsidR="006E32AF" w:rsidRDefault="006E32AF" w:rsidP="006E32A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C85D41" w:rsidRPr="00984EF9" w:rsidRDefault="00697A29" w:rsidP="00C85D41">
      <w:pPr>
        <w:pStyle w:val="berschrift2"/>
      </w:pPr>
      <w:r>
        <w:rPr>
          <w:noProof/>
          <w:lang w:eastAsia="de-DE"/>
        </w:rPr>
        <w:lastRenderedPageBreak/>
        <w:pict>
          <v:shape id="_x0000_s1174" type="#_x0000_t202" style="position:absolute;left:0;text-align:left;margin-left:-.05pt;margin-top:31.45pt;width:462.45pt;height:22.5pt;z-index:251804672;mso-width-relative:margin;mso-height-relative:margin" fillcolor="white [3201]" strokecolor="#4bacc6 [3208]" strokeweight="1pt">
            <v:stroke dashstyle="dash"/>
            <v:shadow color="#868686"/>
            <v:textbox style="mso-next-textbox:#_x0000_s1174">
              <w:txbxContent>
                <w:p w:rsidR="000A10BD" w:rsidRPr="00F31EBF" w:rsidRDefault="000A10BD" w:rsidP="00C85D41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die stark hygroskopische Wirkung von Schwefelsäure zeigen.</w:t>
                  </w:r>
                </w:p>
              </w:txbxContent>
            </v:textbox>
            <w10:wrap type="square"/>
          </v:shape>
        </w:pict>
      </w:r>
      <w:bookmarkStart w:id="3" w:name="_Toc427186486"/>
      <w:r w:rsidR="00C85D41">
        <w:t xml:space="preserve">V3 – </w:t>
      </w:r>
      <w:r w:rsidR="001E06C9">
        <w:t>Verkohlen von Zucker</w:t>
      </w:r>
      <w:bookmarkEnd w:id="3"/>
    </w:p>
    <w:p w:rsidR="00C85D41" w:rsidRDefault="00C85D41" w:rsidP="00C85D41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85D41" w:rsidRPr="009C5E28" w:rsidTr="00C85D41">
        <w:tc>
          <w:tcPr>
            <w:tcW w:w="9322" w:type="dxa"/>
            <w:gridSpan w:val="9"/>
            <w:shd w:val="clear" w:color="auto" w:fill="4F81BD"/>
            <w:vAlign w:val="center"/>
          </w:tcPr>
          <w:p w:rsidR="00C85D41" w:rsidRPr="00F31EBF" w:rsidRDefault="00C85D41" w:rsidP="00C85D41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E06C9" w:rsidRPr="009C5E28" w:rsidTr="00C85D4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E06C9" w:rsidRPr="009C5E28" w:rsidRDefault="001E06C9" w:rsidP="00E834F1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Schwefelsäure (w = 96 %)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E06C9" w:rsidRPr="00B170EE" w:rsidRDefault="001E06C9" w:rsidP="00E834F1">
            <w:pPr>
              <w:spacing w:after="0"/>
              <w:jc w:val="center"/>
              <w:rPr>
                <w:sz w:val="20"/>
                <w:szCs w:val="20"/>
              </w:rPr>
            </w:pPr>
            <w:r w:rsidRPr="00B170EE">
              <w:rPr>
                <w:sz w:val="20"/>
                <w:szCs w:val="20"/>
              </w:rPr>
              <w:t xml:space="preserve">H: </w:t>
            </w:r>
            <w:r>
              <w:rPr>
                <w:sz w:val="20"/>
                <w:szCs w:val="20"/>
              </w:rPr>
              <w:t>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E06C9" w:rsidRPr="00B170EE" w:rsidRDefault="001E06C9" w:rsidP="00E834F1">
            <w:pPr>
              <w:spacing w:after="0"/>
              <w:jc w:val="center"/>
              <w:rPr>
                <w:sz w:val="20"/>
                <w:szCs w:val="20"/>
              </w:rPr>
            </w:pPr>
            <w:r w:rsidRPr="00B170EE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280-301+330+331-305+351+338-309+310</w:t>
            </w:r>
          </w:p>
        </w:tc>
      </w:tr>
      <w:tr w:rsidR="00C85D41" w:rsidRPr="009C5E28" w:rsidTr="00C85D4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87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8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89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2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3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4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85D41" w:rsidRPr="009C5E28" w:rsidRDefault="00C85D41" w:rsidP="00C85D41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9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5D41" w:rsidRDefault="00C85D41" w:rsidP="00C85D41">
      <w:pPr>
        <w:tabs>
          <w:tab w:val="left" w:pos="1701"/>
          <w:tab w:val="left" w:pos="1985"/>
        </w:tabs>
        <w:ind w:left="1980" w:hanging="1980"/>
      </w:pPr>
    </w:p>
    <w:p w:rsidR="00C85D41" w:rsidRDefault="00C85D41" w:rsidP="00C85D4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1E06C9">
        <w:t xml:space="preserve">Reagenzglas, </w:t>
      </w:r>
      <w:r w:rsidR="001E4EB6">
        <w:t xml:space="preserve">Reagenzglasständer, </w:t>
      </w:r>
      <w:r w:rsidR="001E06C9">
        <w:t>Pasteurpipette.</w:t>
      </w:r>
    </w:p>
    <w:p w:rsidR="001E06C9" w:rsidRDefault="00C85D41" w:rsidP="00C85D4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1E06C9">
        <w:t xml:space="preserve">Schwefelsäure (w = 96 %), </w:t>
      </w:r>
      <w:r w:rsidR="001E4EB6">
        <w:t>Glucose.</w:t>
      </w:r>
    </w:p>
    <w:p w:rsidR="00C85D41" w:rsidRDefault="00C85D41" w:rsidP="00C85D41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</w:r>
      <w:r w:rsidR="001E4EB6">
        <w:t>Ein Reagenzglas wird 2 cm hoch mit Glucose gefüllt und anschließend mit konzentrierter Schwefelsäure versetzt.</w:t>
      </w:r>
    </w:p>
    <w:p w:rsidR="005D06C0" w:rsidRDefault="00C85D41" w:rsidP="005D06C0">
      <w:pPr>
        <w:tabs>
          <w:tab w:val="left" w:pos="1701"/>
          <w:tab w:val="left" w:pos="1985"/>
        </w:tabs>
        <w:ind w:left="1980" w:hanging="1980"/>
        <w:rPr>
          <w:noProof/>
          <w:lang w:eastAsia="de-DE"/>
        </w:rPr>
      </w:pPr>
      <w:r>
        <w:t>Beobachtung:</w:t>
      </w:r>
      <w:r>
        <w:tab/>
      </w:r>
      <w:r>
        <w:tab/>
      </w:r>
      <w:r>
        <w:tab/>
      </w:r>
      <w:r w:rsidR="001E4EB6">
        <w:t>Aus der feinkristallinen Glucose entsteht eine schwarze amorphe Masse</w:t>
      </w:r>
      <w:r w:rsidR="004C463A">
        <w:t>.</w:t>
      </w:r>
    </w:p>
    <w:p w:rsidR="00C85D41" w:rsidRDefault="00C85D41" w:rsidP="00C85D41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188000" cy="912189"/>
            <wp:effectExtent l="0" t="133350" r="0" b="116511"/>
            <wp:docPr id="98" name="Bild 4" descr="C:\Users\Dennis Roggenkämper\AppData\Local\Microsoft\Windows\Temporary Internet Files\Content.Word\IMG_2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nnis Roggenkämper\AppData\Local\Microsoft\Windows\Temporary Internet Files\Content.Word\IMG_230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88000" cy="912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D41" w:rsidRPr="00247452" w:rsidRDefault="00C85D41" w:rsidP="00C85D41">
      <w:pPr>
        <w:pStyle w:val="Beschriftung"/>
        <w:jc w:val="center"/>
      </w:pPr>
      <w:r w:rsidRPr="00247452">
        <w:t xml:space="preserve">Abb. </w:t>
      </w:r>
      <w:r w:rsidR="00736B14">
        <w:t>3</w:t>
      </w:r>
      <w:r w:rsidRPr="00247452">
        <w:t xml:space="preserve"> – </w:t>
      </w:r>
      <w:r w:rsidR="001E4EB6">
        <w:rPr>
          <w:noProof/>
        </w:rPr>
        <w:t>Glucose färbt sich durch Schwefelsäure schwarz</w:t>
      </w:r>
      <w:r w:rsidRPr="00247452">
        <w:rPr>
          <w:noProof/>
        </w:rPr>
        <w:t>.</w:t>
      </w:r>
    </w:p>
    <w:p w:rsidR="001804EB" w:rsidRPr="008E567B" w:rsidRDefault="00C85D41" w:rsidP="008E567B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1804EB">
        <w:t>Schwefelsäure ist stark hygroskopisch und wirkt dehydratisierend sowie oxidierend. Es tritt eine Verkohlung ein.</w:t>
      </w:r>
    </w:p>
    <w:p w:rsidR="00C85D41" w:rsidRDefault="00C85D41" w:rsidP="00C85D41">
      <w:pPr>
        <w:spacing w:line="276" w:lineRule="auto"/>
        <w:ind w:left="1985" w:hanging="1985"/>
        <w:jc w:val="left"/>
      </w:pPr>
      <w:r>
        <w:t>Entsorgung:</w:t>
      </w:r>
      <w:r>
        <w:tab/>
      </w:r>
      <w:r w:rsidR="00D2194E">
        <w:t>Der Rückstand wird in den Feststoffabfall gegeben</w:t>
      </w:r>
      <w:r>
        <w:t>.</w:t>
      </w:r>
    </w:p>
    <w:p w:rsidR="00C85D41" w:rsidRDefault="00C85D41" w:rsidP="005D06C0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>
        <w:t>Literatur:</w:t>
      </w:r>
      <w:r>
        <w:tab/>
      </w:r>
      <w:r w:rsidR="008E567B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>R. Blume, D. Wiechoczek</w:t>
      </w:r>
      <w:r w:rsid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(2009</w:t>
      </w:r>
      <w:r w:rsidR="008E567B">
        <w:rPr>
          <w:rFonts w:asciiTheme="majorHAnsi" w:eastAsia="Times New Roman" w:hAnsiTheme="majorHAnsi" w:cs="Times New Roman"/>
          <w:color w:val="auto"/>
          <w:szCs w:val="24"/>
          <w:lang w:eastAsia="de-DE"/>
        </w:rPr>
        <w:t>)</w:t>
      </w:r>
      <w:r w:rsidR="008E567B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http://www.chemieunter</w:t>
      </w:r>
      <w:r w:rsidR="008E567B">
        <w:rPr>
          <w:rFonts w:asciiTheme="majorHAnsi" w:eastAsia="Times New Roman" w:hAnsiTheme="majorHAnsi" w:cs="Times New Roman"/>
          <w:color w:val="auto"/>
          <w:szCs w:val="24"/>
          <w:lang w:eastAsia="de-DE"/>
        </w:rPr>
        <w:t>-</w:t>
      </w:r>
      <w:r w:rsidR="008E567B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>richt.de/dc2/</w:t>
      </w:r>
      <w:r w:rsid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>tip</w:t>
      </w:r>
      <w:r w:rsidR="008E567B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>/</w:t>
      </w:r>
      <w:r w:rsid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>zucker</w:t>
      </w:r>
      <w:r w:rsidR="008E567B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.htm. (Abgerufen am </w:t>
      </w:r>
      <w:r w:rsid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>12.08</w:t>
      </w:r>
      <w:r w:rsidR="008E567B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.20</w:t>
      </w:r>
      <w:r w:rsidR="008E567B" w:rsidRPr="00682093">
        <w:rPr>
          <w:rFonts w:asciiTheme="majorHAnsi" w:eastAsia="Times New Roman" w:hAnsiTheme="majorHAnsi" w:cs="Times New Roman"/>
          <w:color w:val="auto"/>
          <w:szCs w:val="24"/>
          <w:lang w:eastAsia="de-DE"/>
        </w:rPr>
        <w:t>15)</w:t>
      </w:r>
    </w:p>
    <w:p w:rsidR="005D06C0" w:rsidRPr="005D06C0" w:rsidRDefault="00697A29" w:rsidP="005D06C0">
      <w:pPr>
        <w:ind w:left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 w:rsidRPr="00697A29">
        <w:rPr>
          <w:rFonts w:eastAsiaTheme="minorEastAsia"/>
          <w:noProof/>
          <w:lang w:eastAsia="de-DE"/>
        </w:rPr>
        <w:pict>
          <v:shape id="_x0000_s1186" type="#_x0000_t202" style="position:absolute;left:0;text-align:left;margin-left:6.15pt;margin-top:52.7pt;width:456.25pt;height:61.3pt;z-index:251812864;mso-position-horizontal-relative:margin;mso-width-relative:margin;mso-height-relative:margin" strokecolor="#c0504d" strokeweight="1pt">
            <v:stroke dashstyle="dash"/>
            <v:shadow color="#868686"/>
            <v:textbox style="mso-next-textbox:#_x0000_s1186">
              <w:txbxContent>
                <w:p w:rsidR="000A10BD" w:rsidRDefault="000A10BD" w:rsidP="008E567B">
                  <w:r>
                    <w:t>Da das Phänomen der Verkohlung laut Literatur noch nicht vollständig geklärt ist, wurde ke</w:t>
                  </w:r>
                  <w:r>
                    <w:t>i</w:t>
                  </w:r>
                  <w:r>
                    <w:t>ne Reaktionsgleichung angegeben. Ziemlich sicher ist, dass aus den Glucosemolekülen die Elemente von Wasser abgespalten werden.</w:t>
                  </w:r>
                </w:p>
              </w:txbxContent>
            </v:textbox>
            <w10:wrap type="square" anchorx="margin"/>
          </v:shape>
        </w:pict>
      </w:r>
      <w:r w:rsidR="005D06C0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M. Just, E. Just, O. Kownatzki, H. Keune, Eds., </w:t>
      </w:r>
      <w:r w:rsidR="005D06C0" w:rsidRPr="005D06C0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Organische Chemie</w:t>
      </w:r>
      <w:r w:rsidR="005D06C0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Volk Und Wissen, Berlin, </w:t>
      </w:r>
      <w:r w:rsidR="005D06C0" w:rsidRPr="005D06C0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2009</w:t>
      </w:r>
      <w:r w:rsidR="005D06C0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  <w:r w:rsid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S. 205</w:t>
      </w:r>
    </w:p>
    <w:p w:rsidR="00082B99" w:rsidRPr="00984EF9" w:rsidRDefault="00697A29" w:rsidP="00082B99">
      <w:pPr>
        <w:pStyle w:val="berschrift2"/>
      </w:pPr>
      <w:r>
        <w:rPr>
          <w:noProof/>
          <w:lang w:eastAsia="de-DE"/>
        </w:rPr>
        <w:lastRenderedPageBreak/>
        <w:pict>
          <v:shape id="_x0000_s1176" type="#_x0000_t202" style="position:absolute;left:0;text-align:left;margin-left:-.05pt;margin-top:31.45pt;width:462.45pt;height:43.8pt;z-index:251806720;mso-width-relative:margin;mso-height-relative:margin" fillcolor="white [3201]" strokecolor="#4bacc6 [3208]" strokeweight="1pt">
            <v:stroke dashstyle="dash"/>
            <v:shadow color="#868686"/>
            <v:textbox style="mso-next-textbox:#_x0000_s1176">
              <w:txbxContent>
                <w:p w:rsidR="000A10BD" w:rsidRPr="00F31EBF" w:rsidRDefault="000A10BD" w:rsidP="00082B99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soll zeigen, dass offenkettige Aldehyde (Aldeydform) mit der </w:t>
                  </w:r>
                  <w:r w:rsidRPr="00513B92">
                    <w:rPr>
                      <w:smallCaps/>
                      <w:color w:val="auto"/>
                    </w:rPr>
                    <w:t>Schiff</w:t>
                  </w:r>
                  <w:r>
                    <w:rPr>
                      <w:color w:val="auto"/>
                    </w:rPr>
                    <w:t>’schen Pr</w:t>
                  </w:r>
                  <w:r>
                    <w:rPr>
                      <w:color w:val="auto"/>
                    </w:rPr>
                    <w:t>o</w:t>
                  </w:r>
                  <w:r>
                    <w:rPr>
                      <w:color w:val="auto"/>
                    </w:rPr>
                    <w:t>be nachgewiesen werden können, Aldehyde in der cyclischen Ringform hingegen nicht.</w:t>
                  </w:r>
                </w:p>
              </w:txbxContent>
            </v:textbox>
            <w10:wrap type="square"/>
          </v:shape>
        </w:pict>
      </w:r>
      <w:bookmarkStart w:id="4" w:name="_Toc427186487"/>
      <w:r w:rsidR="00736B14">
        <w:t>V4</w:t>
      </w:r>
      <w:r w:rsidR="00082B99">
        <w:t xml:space="preserve"> –</w:t>
      </w:r>
      <w:r w:rsidR="00513B92">
        <w:t xml:space="preserve"> </w:t>
      </w:r>
      <w:r w:rsidR="00513B92" w:rsidRPr="00513B92">
        <w:rPr>
          <w:smallCaps/>
        </w:rPr>
        <w:t>Schiffs</w:t>
      </w:r>
      <w:r w:rsidR="00513B92">
        <w:t xml:space="preserve"> Reagenz</w:t>
      </w:r>
      <w:bookmarkEnd w:id="4"/>
    </w:p>
    <w:p w:rsidR="00082B99" w:rsidRDefault="00082B99" w:rsidP="00082B99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82B99" w:rsidRPr="009C5E28" w:rsidTr="004A10F2">
        <w:tc>
          <w:tcPr>
            <w:tcW w:w="9322" w:type="dxa"/>
            <w:gridSpan w:val="9"/>
            <w:shd w:val="clear" w:color="auto" w:fill="4F81BD"/>
            <w:vAlign w:val="center"/>
          </w:tcPr>
          <w:p w:rsidR="00082B99" w:rsidRPr="00F31EBF" w:rsidRDefault="00082B99" w:rsidP="004A10F2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82B99" w:rsidRPr="009C5E28" w:rsidTr="004A10F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CD58A3" w:rsidRDefault="00513B92" w:rsidP="004A10F2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CD58A3">
              <w:rPr>
                <w:smallCaps/>
                <w:color w:val="auto"/>
                <w:sz w:val="20"/>
                <w:szCs w:val="20"/>
              </w:rPr>
              <w:t>Schiff</w:t>
            </w:r>
            <w:r w:rsidR="00CD58A3" w:rsidRPr="00CD58A3">
              <w:rPr>
                <w:smallCaps/>
                <w:color w:val="auto"/>
                <w:sz w:val="20"/>
                <w:szCs w:val="20"/>
              </w:rPr>
              <w:t>‘</w:t>
            </w:r>
            <w:r w:rsidRPr="00CD58A3">
              <w:rPr>
                <w:color w:val="auto"/>
                <w:sz w:val="20"/>
                <w:szCs w:val="20"/>
              </w:rPr>
              <w:t>s</w:t>
            </w:r>
            <w:r w:rsidRPr="00CD58A3">
              <w:rPr>
                <w:sz w:val="20"/>
                <w:szCs w:val="20"/>
              </w:rPr>
              <w:t xml:space="preserve"> -Reagenz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CD58A3" w:rsidRDefault="00082B99" w:rsidP="004A10F2">
            <w:pPr>
              <w:spacing w:after="0"/>
              <w:jc w:val="center"/>
              <w:rPr>
                <w:sz w:val="20"/>
                <w:szCs w:val="20"/>
              </w:rPr>
            </w:pPr>
            <w:r w:rsidRPr="00CD58A3">
              <w:rPr>
                <w:sz w:val="20"/>
                <w:szCs w:val="20"/>
              </w:rPr>
              <w:t xml:space="preserve">H: </w:t>
            </w:r>
            <w:r w:rsidR="00C54E2E" w:rsidRPr="00CD58A3">
              <w:rPr>
                <w:sz w:val="20"/>
                <w:szCs w:val="20"/>
              </w:rPr>
              <w:t>350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2B99" w:rsidRPr="00CD58A3" w:rsidRDefault="00082B99" w:rsidP="004A10F2">
            <w:pPr>
              <w:spacing w:after="0"/>
              <w:jc w:val="center"/>
              <w:rPr>
                <w:sz w:val="20"/>
                <w:szCs w:val="20"/>
              </w:rPr>
            </w:pPr>
            <w:r w:rsidRPr="00CD58A3">
              <w:rPr>
                <w:sz w:val="20"/>
                <w:szCs w:val="20"/>
              </w:rPr>
              <w:t xml:space="preserve">P: </w:t>
            </w:r>
            <w:r w:rsidR="00C54E2E" w:rsidRPr="00CD58A3">
              <w:rPr>
                <w:sz w:val="20"/>
                <w:szCs w:val="20"/>
              </w:rPr>
              <w:t>281-201-308+313</w:t>
            </w:r>
          </w:p>
        </w:tc>
      </w:tr>
      <w:tr w:rsidR="00CD58A3" w:rsidRPr="009C5E28" w:rsidTr="004A10F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8A3" w:rsidRPr="00CD58A3" w:rsidRDefault="00CD58A3" w:rsidP="004A10F2">
            <w:pPr>
              <w:spacing w:after="0" w:line="276" w:lineRule="auto"/>
              <w:jc w:val="center"/>
              <w:rPr>
                <w:smallCaps/>
                <w:color w:val="auto"/>
                <w:sz w:val="20"/>
                <w:szCs w:val="20"/>
              </w:rPr>
            </w:pPr>
            <w:r w:rsidRPr="00CD58A3">
              <w:rPr>
                <w:sz w:val="20"/>
                <w:szCs w:val="20"/>
              </w:rPr>
              <w:t>Formaldehyd (w = 1%)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8A3" w:rsidRPr="00CD58A3" w:rsidRDefault="00CD58A3" w:rsidP="004A10F2">
            <w:pPr>
              <w:spacing w:after="0"/>
              <w:jc w:val="center"/>
              <w:rPr>
                <w:sz w:val="20"/>
                <w:szCs w:val="20"/>
              </w:rPr>
            </w:pPr>
            <w:r w:rsidRPr="00CD58A3">
              <w:rPr>
                <w:sz w:val="20"/>
                <w:szCs w:val="20"/>
              </w:rPr>
              <w:t>H: 302-351-317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D58A3" w:rsidRPr="00CD58A3" w:rsidRDefault="00CD58A3" w:rsidP="004A10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280-302+352-308+313</w:t>
            </w:r>
          </w:p>
        </w:tc>
      </w:tr>
      <w:tr w:rsidR="00CD58A3" w:rsidRPr="009C5E28" w:rsidTr="004A10F2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8A3" w:rsidRPr="00CD58A3" w:rsidRDefault="00CD58A3" w:rsidP="004A10F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Glucose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D58A3" w:rsidRPr="00CD58A3" w:rsidRDefault="00CD58A3" w:rsidP="004A10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D58A3" w:rsidRDefault="00CD58A3" w:rsidP="004A10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2B99" w:rsidRPr="009C5E28" w:rsidTr="004A10F2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99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101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04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06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82B99" w:rsidRPr="009C5E28" w:rsidRDefault="00082B99" w:rsidP="004A10F2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0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2B99" w:rsidRDefault="00082B99" w:rsidP="00082B99">
      <w:pPr>
        <w:tabs>
          <w:tab w:val="left" w:pos="1701"/>
          <w:tab w:val="left" w:pos="1985"/>
        </w:tabs>
        <w:ind w:left="1980" w:hanging="1980"/>
      </w:pPr>
    </w:p>
    <w:p w:rsidR="00082B99" w:rsidRPr="00CD58A3" w:rsidRDefault="00082B99" w:rsidP="00082B99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CD58A3" w:rsidRPr="00CD58A3">
        <w:t>2 Reagenzgläser</w:t>
      </w:r>
      <w:r w:rsidR="00744823" w:rsidRPr="00CD58A3">
        <w:t>.</w:t>
      </w:r>
    </w:p>
    <w:p w:rsidR="00082B99" w:rsidRPr="00CD58A3" w:rsidRDefault="00CD58A3" w:rsidP="00082B99">
      <w:pPr>
        <w:tabs>
          <w:tab w:val="left" w:pos="1701"/>
          <w:tab w:val="left" w:pos="1985"/>
        </w:tabs>
        <w:ind w:left="1980" w:hanging="1980"/>
      </w:pPr>
      <w:r w:rsidRPr="00CD58A3">
        <w:t>Chemikalien:</w:t>
      </w:r>
      <w:r w:rsidRPr="00CD58A3">
        <w:tab/>
      </w:r>
      <w:r w:rsidRPr="00CD58A3">
        <w:tab/>
      </w:r>
      <w:r w:rsidRPr="00CD58A3">
        <w:rPr>
          <w:smallCaps/>
          <w:color w:val="auto"/>
        </w:rPr>
        <w:t>Schiff‘</w:t>
      </w:r>
      <w:r w:rsidRPr="00CD58A3">
        <w:rPr>
          <w:color w:val="auto"/>
        </w:rPr>
        <w:t>s</w:t>
      </w:r>
      <w:r w:rsidRPr="00CD58A3">
        <w:t xml:space="preserve"> –Reagenz, Formaldehydlösung (w = 1 %), Glucose, destilliertes Wasser.</w:t>
      </w:r>
    </w:p>
    <w:p w:rsidR="00082B99" w:rsidRPr="00CD58A3" w:rsidRDefault="00082B99" w:rsidP="00082B99">
      <w:pPr>
        <w:tabs>
          <w:tab w:val="left" w:pos="1701"/>
          <w:tab w:val="left" w:pos="1985"/>
        </w:tabs>
        <w:ind w:left="1980" w:hanging="1980"/>
      </w:pPr>
      <w:r w:rsidRPr="00CD58A3">
        <w:t>Durchführung:</w:t>
      </w:r>
      <w:r w:rsidRPr="00CD58A3">
        <w:tab/>
      </w:r>
      <w:r w:rsidRPr="00CD58A3">
        <w:tab/>
      </w:r>
      <w:r w:rsidR="00CD58A3" w:rsidRPr="00CD58A3">
        <w:t xml:space="preserve">Zu 2 mL Glucoselösung und 2 mL Formaldehydlösung werden 3 mL </w:t>
      </w:r>
      <w:r w:rsidR="00CD58A3" w:rsidRPr="00CD58A3">
        <w:rPr>
          <w:smallCaps/>
          <w:color w:val="auto"/>
        </w:rPr>
        <w:t>Schiff‘</w:t>
      </w:r>
      <w:r w:rsidR="00CD58A3" w:rsidRPr="00CD58A3">
        <w:rPr>
          <w:color w:val="auto"/>
        </w:rPr>
        <w:t>s</w:t>
      </w:r>
      <w:r w:rsidR="00CD58A3" w:rsidRPr="00CD58A3">
        <w:t xml:space="preserve"> –Reagenz gegeben.</w:t>
      </w:r>
    </w:p>
    <w:p w:rsidR="00744823" w:rsidRPr="00CD58A3" w:rsidRDefault="00082B99" w:rsidP="00744823">
      <w:pPr>
        <w:tabs>
          <w:tab w:val="left" w:pos="1701"/>
          <w:tab w:val="left" w:pos="1985"/>
        </w:tabs>
        <w:ind w:left="1980" w:hanging="1980"/>
      </w:pPr>
      <w:r w:rsidRPr="00CD58A3">
        <w:t>Beobachtung:</w:t>
      </w:r>
      <w:r w:rsidR="00744823" w:rsidRPr="00CD58A3">
        <w:tab/>
      </w:r>
      <w:r w:rsidR="00744823" w:rsidRPr="00CD58A3">
        <w:tab/>
      </w:r>
      <w:r w:rsidR="008957F8">
        <w:t>D</w:t>
      </w:r>
      <w:r w:rsidR="00CD58A3" w:rsidRPr="00CD58A3">
        <w:t>ie</w:t>
      </w:r>
      <w:r w:rsidR="00CD58A3">
        <w:t xml:space="preserve"> Formaldehydlösung färbt sich violett.</w:t>
      </w:r>
      <w:r w:rsidR="008957F8">
        <w:t xml:space="preserve"> Die Glucoselösung bleibt farblos, nach längerer Zeit ist eine sehr schwache violett-Färbung zu beobachten.</w:t>
      </w:r>
    </w:p>
    <w:p w:rsidR="00082B99" w:rsidRDefault="00744823" w:rsidP="00744823">
      <w:pPr>
        <w:keepNext/>
        <w:tabs>
          <w:tab w:val="left" w:pos="1701"/>
          <w:tab w:val="left" w:pos="1985"/>
        </w:tabs>
        <w:ind w:left="1980" w:hanging="1980"/>
        <w:jc w:val="center"/>
        <w:rPr>
          <w:noProof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2520000" cy="1393432"/>
            <wp:effectExtent l="19050" t="0" r="0" b="0"/>
            <wp:docPr id="109" name="Bild 7" descr="C:\Users\Dennis Roggenkämper\AppData\Local\Microsoft\Windows\Temporary Internet Files\Content.Word\IMG_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nnis Roggenkämper\AppData\Local\Microsoft\Windows\Temporary Internet Files\Content.Word\IMG_2307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9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B99" w:rsidRPr="008957F8" w:rsidRDefault="00082B99" w:rsidP="00082B99">
      <w:pPr>
        <w:pStyle w:val="Beschriftung"/>
        <w:jc w:val="center"/>
      </w:pPr>
      <w:r w:rsidRPr="008957F8">
        <w:t>Abb. 4 –</w:t>
      </w:r>
      <w:r w:rsidR="008957F8" w:rsidRPr="008957F8">
        <w:t>Formaldehyd färbt sich violett</w:t>
      </w:r>
      <w:r w:rsidR="008957F8">
        <w:rPr>
          <w:noProof/>
        </w:rPr>
        <w:t xml:space="preserve"> mit </w:t>
      </w:r>
      <w:r w:rsidR="008957F8" w:rsidRPr="008957F8">
        <w:rPr>
          <w:smallCaps/>
        </w:rPr>
        <w:t>Schiff‘</w:t>
      </w:r>
      <w:r w:rsidR="008957F8" w:rsidRPr="008957F8">
        <w:t>s –Reagenz</w:t>
      </w:r>
      <w:r w:rsidR="008957F8">
        <w:t>.</w:t>
      </w:r>
    </w:p>
    <w:p w:rsidR="00082B99" w:rsidRPr="004C463A" w:rsidRDefault="00082B99" w:rsidP="004C463A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5D06C0">
        <w:t>Glucosemoleküle liegen im chemischen Gleichgewich</w:t>
      </w:r>
      <w:r w:rsidR="000A6DAA">
        <w:t>t in der thermodyn</w:t>
      </w:r>
      <w:r w:rsidR="000A6DAA">
        <w:t>a</w:t>
      </w:r>
      <w:r w:rsidR="000A6DAA">
        <w:t xml:space="preserve">misch günstigen Ringform vor. Die Kettenform, in der Aldehydgruppe frei vorliegt, liegt in wässriger Lösung kaum vor, sodass die </w:t>
      </w:r>
      <w:r w:rsidR="000A6DAA" w:rsidRPr="000A6DAA">
        <w:rPr>
          <w:smallCaps/>
        </w:rPr>
        <w:t>Schiff</w:t>
      </w:r>
      <w:r w:rsidR="000A6DAA">
        <w:t>’sche Probe mit Glucose negativ ist.</w:t>
      </w:r>
    </w:p>
    <w:p w:rsidR="00082B99" w:rsidRDefault="00082B99" w:rsidP="00082B99">
      <w:pPr>
        <w:spacing w:line="276" w:lineRule="auto"/>
        <w:ind w:left="1985" w:hanging="1985"/>
        <w:jc w:val="left"/>
      </w:pPr>
      <w:r>
        <w:t>Entsorgung:</w:t>
      </w:r>
      <w:r>
        <w:tab/>
      </w:r>
      <w:r w:rsidR="008957F8">
        <w:t>Die Lösungen werden in den Sammelbehälter für organische Abfälle geg</w:t>
      </w:r>
      <w:r w:rsidR="008957F8">
        <w:t>e</w:t>
      </w:r>
      <w:r w:rsidR="008957F8">
        <w:t>ben</w:t>
      </w:r>
      <w:r>
        <w:t>.</w:t>
      </w:r>
    </w:p>
    <w:p w:rsidR="000A6DAA" w:rsidRPr="005D06C0" w:rsidRDefault="00697A29" w:rsidP="000A6DAA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 w:rsidRPr="00697A29">
        <w:rPr>
          <w:rFonts w:eastAsiaTheme="minorEastAsia"/>
          <w:noProof/>
          <w:lang w:eastAsia="de-DE"/>
        </w:rPr>
        <w:lastRenderedPageBreak/>
        <w:pict>
          <v:shape id="_x0000_s1177" type="#_x0000_t202" style="position:absolute;left:0;text-align:left;margin-left:.4pt;margin-top:53.45pt;width:456.25pt;height:41.6pt;z-index:251807744;mso-position-horizontal-relative:margin;mso-width-relative:margin;mso-height-relative:margin" strokecolor="#c0504d" strokeweight="1pt">
            <v:stroke dashstyle="dash"/>
            <v:shadow color="#868686"/>
            <v:textbox style="mso-next-textbox:#_x0000_s1177">
              <w:txbxContent>
                <w:p w:rsidR="000A10BD" w:rsidRDefault="000A10BD" w:rsidP="00BC5DA2">
                  <w:r>
                    <w:t xml:space="preserve">Achtung: </w:t>
                  </w:r>
                  <w:r w:rsidRPr="003D60B9">
                    <w:rPr>
                      <w:b/>
                    </w:rPr>
                    <w:t>Formaldehyd (Methanal)</w:t>
                  </w:r>
                  <w:r>
                    <w:t xml:space="preserve"> </w:t>
                  </w:r>
                  <w:r w:rsidR="003D60B9">
                    <w:t xml:space="preserve">ist </w:t>
                  </w:r>
                  <w:r>
                    <w:t xml:space="preserve">in der </w:t>
                  </w:r>
                  <w:r w:rsidRPr="003D60B9">
                    <w:rPr>
                      <w:b/>
                    </w:rPr>
                    <w:t xml:space="preserve">Schule </w:t>
                  </w:r>
                  <w:r w:rsidR="003D60B9" w:rsidRPr="003D60B9">
                    <w:rPr>
                      <w:b/>
                    </w:rPr>
                    <w:t>verboten</w:t>
                  </w:r>
                  <w:r>
                    <w:t>! Als Ersatzstoff ist Acetaldehyd (Ethanal) geeignet. Hierbei ist allerdings ebenfalls Vorsicht geboten!</w:t>
                  </w:r>
                </w:p>
              </w:txbxContent>
            </v:textbox>
            <w10:wrap type="square" anchorx="margin"/>
          </v:shape>
        </w:pict>
      </w:r>
      <w:r w:rsidR="00082B99">
        <w:t>Literatur:</w:t>
      </w:r>
      <w:r w:rsidR="000A6DAA">
        <w:tab/>
      </w:r>
      <w:r w:rsidR="000A6DAA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M. Just, E. Just, O. Kownatzki, H. Keune, Eds., </w:t>
      </w:r>
      <w:r w:rsidR="000A6DAA" w:rsidRPr="005D06C0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Organische Chemie</w:t>
      </w:r>
      <w:r w:rsidR="000A6DAA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Volk Und Wissen, Berlin, </w:t>
      </w:r>
      <w:r w:rsidR="000A6DAA" w:rsidRPr="005D06C0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2009</w:t>
      </w:r>
      <w:r w:rsidR="000A6DAA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  <w:r w:rsidR="000A6DAA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S. 208</w:t>
      </w:r>
    </w:p>
    <w:p w:rsidR="000A6DAA" w:rsidRDefault="003F3270" w:rsidP="000A6DAA">
      <w:r>
        <w:t xml:space="preserve"> </w:t>
      </w:r>
    </w:p>
    <w:p w:rsidR="00B619BB" w:rsidRDefault="00984EF9" w:rsidP="005669B2">
      <w:pPr>
        <w:pStyle w:val="berschrift1"/>
      </w:pPr>
      <w:bookmarkStart w:id="5" w:name="_Toc427186488"/>
      <w:r>
        <w:t xml:space="preserve">Weitere </w:t>
      </w:r>
      <w:r w:rsidR="00994634">
        <w:t>Schülerversuch</w:t>
      </w:r>
      <w:r>
        <w:t>e</w:t>
      </w:r>
      <w:bookmarkEnd w:id="5"/>
    </w:p>
    <w:p w:rsidR="00AE04F6" w:rsidRPr="00984EF9" w:rsidRDefault="00697A29" w:rsidP="00AE04F6">
      <w:pPr>
        <w:pStyle w:val="berschrift2"/>
      </w:pPr>
      <w:r>
        <w:rPr>
          <w:noProof/>
          <w:lang w:eastAsia="de-DE"/>
        </w:rPr>
        <w:pict>
          <v:shape id="_x0000_s1165" type="#_x0000_t202" style="position:absolute;left:0;text-align:left;margin-left:-.05pt;margin-top:31.45pt;width:462.45pt;height:43.3pt;z-index:251794432;mso-width-relative:margin;mso-height-relative:margin" fillcolor="white [3201]" strokecolor="#4bacc6 [3208]" strokeweight="1pt">
            <v:stroke dashstyle="dash"/>
            <v:shadow color="#868686"/>
            <v:textbox style="mso-next-textbox:#_x0000_s1165">
              <w:txbxContent>
                <w:p w:rsidR="000A10BD" w:rsidRPr="00F31EBF" w:rsidRDefault="000A10BD" w:rsidP="00AE04F6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zeigen, dass Stärke mit einer Iod-Kaliumiodid-Lösung (</w:t>
                  </w:r>
                  <w:r w:rsidRPr="00D2194E">
                    <w:rPr>
                      <w:smallCaps/>
                    </w:rPr>
                    <w:t>Lugol</w:t>
                  </w:r>
                  <w:r>
                    <w:t>’scher Lösung</w:t>
                  </w:r>
                  <w:r>
                    <w:rPr>
                      <w:color w:val="auto"/>
                    </w:rPr>
                    <w:t>) nachgewiesen werden kann.</w:t>
                  </w:r>
                </w:p>
              </w:txbxContent>
            </v:textbox>
            <w10:wrap type="square"/>
          </v:shape>
        </w:pict>
      </w:r>
      <w:bookmarkStart w:id="6" w:name="_Toc427186489"/>
      <w:r w:rsidR="00AE04F6">
        <w:t xml:space="preserve">V1 – </w:t>
      </w:r>
      <w:r w:rsidR="00D2194E">
        <w:t xml:space="preserve">Stärke-Nachweis mit </w:t>
      </w:r>
      <w:r w:rsidR="00D2194E" w:rsidRPr="00D2194E">
        <w:rPr>
          <w:smallCaps/>
        </w:rPr>
        <w:t>Lugol</w:t>
      </w:r>
      <w:r w:rsidR="00D2194E">
        <w:t>’scher Lösung</w:t>
      </w:r>
      <w:bookmarkEnd w:id="6"/>
    </w:p>
    <w:p w:rsidR="00AE04F6" w:rsidRDefault="00AE04F6" w:rsidP="00AE04F6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E04F6" w:rsidRPr="009C5E28" w:rsidTr="004C1303">
        <w:tc>
          <w:tcPr>
            <w:tcW w:w="9322" w:type="dxa"/>
            <w:gridSpan w:val="9"/>
            <w:shd w:val="clear" w:color="auto" w:fill="4F81BD"/>
            <w:vAlign w:val="center"/>
          </w:tcPr>
          <w:p w:rsidR="00AE04F6" w:rsidRPr="00F31EBF" w:rsidRDefault="00AE04F6" w:rsidP="004C130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E04F6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B41916" w:rsidRDefault="00B41916" w:rsidP="00B41916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B41916">
              <w:rPr>
                <w:smallCaps/>
                <w:sz w:val="20"/>
                <w:szCs w:val="20"/>
              </w:rPr>
              <w:t>Lugol</w:t>
            </w:r>
            <w:r w:rsidRPr="00B41916">
              <w:rPr>
                <w:sz w:val="20"/>
                <w:szCs w:val="20"/>
              </w:rPr>
              <w:t>’sche 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B41916" w:rsidRDefault="00B41916" w:rsidP="00B41916">
            <w:pPr>
              <w:spacing w:after="0"/>
              <w:jc w:val="center"/>
              <w:rPr>
                <w:sz w:val="20"/>
                <w:szCs w:val="20"/>
              </w:rPr>
            </w:pPr>
            <w:r w:rsidRPr="00B41916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E04F6" w:rsidRPr="00B41916" w:rsidRDefault="00B41916" w:rsidP="005819A9">
            <w:pPr>
              <w:spacing w:after="0"/>
              <w:jc w:val="center"/>
              <w:rPr>
                <w:sz w:val="20"/>
                <w:szCs w:val="20"/>
              </w:rPr>
            </w:pPr>
            <w:r w:rsidRPr="00B41916">
              <w:rPr>
                <w:sz w:val="20"/>
                <w:szCs w:val="20"/>
              </w:rPr>
              <w:t>-</w:t>
            </w:r>
          </w:p>
        </w:tc>
      </w:tr>
      <w:tr w:rsidR="005819A9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19A9" w:rsidRPr="00B41916" w:rsidRDefault="00B41916" w:rsidP="004C13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B41916">
              <w:rPr>
                <w:sz w:val="20"/>
                <w:szCs w:val="20"/>
              </w:rPr>
              <w:t>Stärke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819A9" w:rsidRPr="00B41916" w:rsidRDefault="00B41916" w:rsidP="004C1303">
            <w:pPr>
              <w:spacing w:after="0"/>
              <w:jc w:val="center"/>
              <w:rPr>
                <w:sz w:val="20"/>
                <w:szCs w:val="20"/>
              </w:rPr>
            </w:pPr>
            <w:r w:rsidRPr="00B41916"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819A9" w:rsidRPr="00B41916" w:rsidRDefault="005819A9" w:rsidP="004C1303">
            <w:pPr>
              <w:spacing w:after="0"/>
              <w:jc w:val="center"/>
              <w:rPr>
                <w:sz w:val="20"/>
                <w:szCs w:val="20"/>
              </w:rPr>
            </w:pPr>
            <w:r w:rsidRPr="00B41916">
              <w:rPr>
                <w:sz w:val="20"/>
                <w:szCs w:val="20"/>
              </w:rPr>
              <w:t>-</w:t>
            </w:r>
          </w:p>
        </w:tc>
      </w:tr>
      <w:tr w:rsidR="003D60B9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60B9" w:rsidRPr="00B41916" w:rsidRDefault="003D60B9" w:rsidP="004C13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60B9" w:rsidRPr="00B41916" w:rsidRDefault="003D60B9" w:rsidP="004C130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332-312-400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60B9" w:rsidRPr="00B41916" w:rsidRDefault="00D23D5D" w:rsidP="004C130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273-302+352</w:t>
            </w:r>
          </w:p>
        </w:tc>
      </w:tr>
      <w:tr w:rsidR="003D60B9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60B9" w:rsidRDefault="003D60B9" w:rsidP="004C1303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Kaliumiodid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3D60B9" w:rsidRPr="00B41916" w:rsidRDefault="003D60B9" w:rsidP="004C130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3D60B9" w:rsidRPr="00B41916" w:rsidRDefault="003D60B9" w:rsidP="004C130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04F6" w:rsidRPr="009C5E28" w:rsidTr="004C130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6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7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48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9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5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5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E04F6" w:rsidRPr="009C5E28" w:rsidRDefault="00AE04F6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5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4F6" w:rsidRDefault="00AE04F6" w:rsidP="00AE04F6">
      <w:pPr>
        <w:tabs>
          <w:tab w:val="left" w:pos="1701"/>
          <w:tab w:val="left" w:pos="1985"/>
        </w:tabs>
        <w:ind w:left="1980" w:hanging="1980"/>
      </w:pPr>
    </w:p>
    <w:p w:rsidR="00AE04F6" w:rsidRDefault="00AE04F6" w:rsidP="00AE04F6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D2194E">
        <w:t>Bechergläser 300 mL und 500</w:t>
      </w:r>
      <w:r w:rsidR="003D60B9">
        <w:t xml:space="preserve"> </w:t>
      </w:r>
      <w:r w:rsidR="00D2194E">
        <w:t>mL, Reagenzglas, Reagenzglasständer, Pa</w:t>
      </w:r>
      <w:r w:rsidR="00D2194E">
        <w:t>s</w:t>
      </w:r>
      <w:r w:rsidR="00D2194E">
        <w:t>teurpipette</w:t>
      </w:r>
      <w:r w:rsidR="00D40EE3">
        <w:t>, Bunsenbrenner, Dreifuß mit Drahtnetz.</w:t>
      </w:r>
    </w:p>
    <w:p w:rsidR="00AE04F6" w:rsidRPr="00ED07C2" w:rsidRDefault="00AE04F6" w:rsidP="00AE04F6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D2194E">
        <w:t>Stärke, Iod, Kaliumiodid, destilliertes Wasser.</w:t>
      </w:r>
    </w:p>
    <w:p w:rsidR="00AE04F6" w:rsidRDefault="00AE04F6" w:rsidP="00D40EE3">
      <w:pPr>
        <w:tabs>
          <w:tab w:val="left" w:pos="1701"/>
          <w:tab w:val="left" w:pos="1985"/>
        </w:tabs>
        <w:spacing w:after="0"/>
        <w:ind w:left="1980" w:hanging="1980"/>
      </w:pPr>
      <w:r>
        <w:t>Durchführung:</w:t>
      </w:r>
      <w:r>
        <w:tab/>
      </w:r>
      <w:r>
        <w:tab/>
      </w:r>
      <w:r w:rsidR="00D2194E">
        <w:t xml:space="preserve">Ansetzen der </w:t>
      </w:r>
      <w:r w:rsidR="00D2194E" w:rsidRPr="00D2194E">
        <w:rPr>
          <w:smallCaps/>
        </w:rPr>
        <w:t>Lugol</w:t>
      </w:r>
      <w:r w:rsidR="00D2194E">
        <w:t>’sche</w:t>
      </w:r>
      <w:r w:rsidR="00D40EE3">
        <w:t>n</w:t>
      </w:r>
      <w:r w:rsidR="00D2194E">
        <w:t xml:space="preserve"> Lösung:</w:t>
      </w:r>
    </w:p>
    <w:p w:rsidR="00D2194E" w:rsidRDefault="00D2194E" w:rsidP="00D40EE3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  <w:t>In ein 500 mL Becherglas werden 1 g Iod und 2 g Kaliumiodid in 5 mL de</w:t>
      </w:r>
      <w:r>
        <w:t>s</w:t>
      </w:r>
      <w:r>
        <w:t>tilliertem Wasser gelöst.</w:t>
      </w:r>
      <w:r w:rsidR="00D40EE3">
        <w:t xml:space="preserve"> Für den Stärkenachweis muss die Lösung auf 300 mL mit destilliertem Wasser aufgefüllt werden.</w:t>
      </w:r>
    </w:p>
    <w:p w:rsidR="00D40EE3" w:rsidRDefault="00D40EE3" w:rsidP="00D40EE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In 100 mL destilliertem Wasser wird 1 g Stärke gelöst und für 5 Min. aufg</w:t>
      </w:r>
      <w:r>
        <w:t>e</w:t>
      </w:r>
      <w:r>
        <w:t xml:space="preserve">kocht. Die Lösung wird zum Abkühlen stehen gelassen. Nach dem Abkühlen werden 3 mL in ein Reagenzglas gegeben und mit der </w:t>
      </w:r>
      <w:r w:rsidRPr="00D2194E">
        <w:rPr>
          <w:smallCaps/>
        </w:rPr>
        <w:t>Lugol</w:t>
      </w:r>
      <w:r>
        <w:t>’schen Lösung versetzt.</w:t>
      </w:r>
    </w:p>
    <w:p w:rsidR="00AE04F6" w:rsidRDefault="00AE04F6" w:rsidP="00AE04F6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D40EE3">
        <w:t>Es tritt eine tiefblaue Färbung auf.</w:t>
      </w:r>
    </w:p>
    <w:p w:rsidR="00AE04F6" w:rsidRDefault="00D84047" w:rsidP="00AE04F6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975450" cy="721075"/>
            <wp:effectExtent l="0" t="628650" r="0" b="612425"/>
            <wp:docPr id="58" name="Bild 32" descr="C:\Users\Dennis Roggenkämper\AppData\Local\Microsoft\Windows\Temporary Internet Files\Content.Word\IMG_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Dennis Roggenkämper\AppData\Local\Microsoft\Windows\Temporary Internet Files\Content.Word\IMG_2207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5450" cy="72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4F6" w:rsidRPr="00247452" w:rsidRDefault="00736B14" w:rsidP="00AE04F6">
      <w:pPr>
        <w:pStyle w:val="Beschriftung"/>
        <w:jc w:val="center"/>
      </w:pPr>
      <w:r>
        <w:t>Abb. 5</w:t>
      </w:r>
      <w:r w:rsidR="00AE04F6" w:rsidRPr="00247452">
        <w:t xml:space="preserve"> – </w:t>
      </w:r>
      <w:r w:rsidR="00D40EE3">
        <w:rPr>
          <w:noProof/>
        </w:rPr>
        <w:t xml:space="preserve">Nachweis von Stärke mit </w:t>
      </w:r>
      <w:r w:rsidR="00D40EE3" w:rsidRPr="00D2194E">
        <w:rPr>
          <w:smallCaps/>
        </w:rPr>
        <w:t>Lugol</w:t>
      </w:r>
      <w:r w:rsidR="00D40EE3">
        <w:t>’scher Lösung</w:t>
      </w:r>
      <w:r w:rsidR="00AE04F6" w:rsidRPr="00247452">
        <w:rPr>
          <w:noProof/>
        </w:rPr>
        <w:t>.</w:t>
      </w:r>
    </w:p>
    <w:p w:rsidR="003F3270" w:rsidRDefault="00AE04F6" w:rsidP="00D02AB7">
      <w:pPr>
        <w:tabs>
          <w:tab w:val="left" w:pos="1701"/>
          <w:tab w:val="left" w:pos="1985"/>
        </w:tabs>
        <w:spacing w:after="0"/>
        <w:ind w:left="1985" w:hanging="1985"/>
      </w:pPr>
      <w:r>
        <w:t>Deutung:</w:t>
      </w:r>
      <w:r>
        <w:tab/>
      </w:r>
      <w:r>
        <w:tab/>
      </w:r>
      <w:r w:rsidR="003F3270">
        <w:t xml:space="preserve">Durch das Zusammengeben von Iod und </w:t>
      </w:r>
      <w:r w:rsidR="00D02AB7">
        <w:t>Kaliumiodid in wässriger Lösung bildet sich zunächst Triiodid. Das Triiodid reagiert mit einem weiteren Iodmolekül zu Polyiodid (I</w:t>
      </w:r>
      <w:r w:rsidR="00D02AB7" w:rsidRPr="00D02AB7">
        <w:rPr>
          <w:vertAlign w:val="subscript"/>
        </w:rPr>
        <w:t>5</w:t>
      </w:r>
      <w:r w:rsidR="00D02AB7" w:rsidRPr="00D02AB7">
        <w:rPr>
          <w:vertAlign w:val="superscript"/>
        </w:rPr>
        <w:t>-</w:t>
      </w:r>
      <w:r w:rsidR="00D02AB7">
        <w:t>).</w:t>
      </w:r>
    </w:p>
    <w:p w:rsidR="00D02AB7" w:rsidRDefault="00D02AB7" w:rsidP="00D02AB7">
      <w:pPr>
        <w:tabs>
          <w:tab w:val="left" w:pos="1701"/>
          <w:tab w:val="left" w:pos="1985"/>
        </w:tabs>
        <w:spacing w:after="0"/>
        <w:ind w:left="1985" w:hanging="1985"/>
      </w:pPr>
      <w:r>
        <w:tab/>
      </w:r>
      <w:r>
        <w:tab/>
        <w:t>2 I</w:t>
      </w:r>
      <w:r w:rsidRPr="00D02AB7">
        <w:rPr>
          <w:vertAlign w:val="subscript"/>
        </w:rPr>
        <w:t>2</w:t>
      </w:r>
      <w:r>
        <w:t xml:space="preserve">   +   I</w:t>
      </w:r>
      <w:r w:rsidRPr="00D02AB7">
        <w:rPr>
          <w:vertAlign w:val="superscript"/>
        </w:rPr>
        <w:t>-</w:t>
      </w:r>
      <w:r>
        <w:t xml:space="preserve">   ⇌   I</w:t>
      </w:r>
      <w:r w:rsidRPr="00D02AB7">
        <w:rPr>
          <w:vertAlign w:val="subscript"/>
        </w:rPr>
        <w:t>3</w:t>
      </w:r>
      <w:r w:rsidRPr="00D02AB7">
        <w:rPr>
          <w:vertAlign w:val="superscript"/>
        </w:rPr>
        <w:t>-</w:t>
      </w:r>
      <w:r>
        <w:t xml:space="preserve">   +   I</w:t>
      </w:r>
      <w:r w:rsidRPr="00D02AB7">
        <w:rPr>
          <w:vertAlign w:val="subscript"/>
        </w:rPr>
        <w:t>2</w:t>
      </w:r>
      <w:r>
        <w:t xml:space="preserve">   ⇌   I</w:t>
      </w:r>
      <w:r w:rsidRPr="00D02AB7">
        <w:rPr>
          <w:vertAlign w:val="subscript"/>
        </w:rPr>
        <w:t>5</w:t>
      </w:r>
      <w:r w:rsidRPr="00D02AB7">
        <w:rPr>
          <w:vertAlign w:val="superscript"/>
        </w:rPr>
        <w:t>-</w:t>
      </w:r>
    </w:p>
    <w:p w:rsidR="003F3270" w:rsidRPr="00D02AB7" w:rsidRDefault="003F3270" w:rsidP="00D02AB7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>Das Polymer Amylose besteht aus Glucose-Monomeren, die linear angeordnet sind. Bei Raumtemperatur liegt eine Helix mit 6 Glucose-Monomeren im Umfang vor.</w:t>
      </w:r>
      <w:r w:rsidR="00D02AB7">
        <w:t xml:space="preserve"> In diese Helix intercalieren die Polyiodidionen, wodurch die Blaufärbung auftritt.</w:t>
      </w:r>
    </w:p>
    <w:p w:rsidR="00AE04F6" w:rsidRDefault="00AE04F6" w:rsidP="00AE04F6">
      <w:pPr>
        <w:spacing w:line="276" w:lineRule="auto"/>
        <w:ind w:left="1985" w:hanging="1985"/>
        <w:jc w:val="left"/>
      </w:pPr>
      <w:r>
        <w:t>Entsorgung:</w:t>
      </w:r>
      <w:r>
        <w:tab/>
      </w:r>
      <w:r w:rsidR="00B41916">
        <w:t>Nach Zugabe von Thiosulfatlösung kann die Probe in den Abfluss gegeben werden.</w:t>
      </w:r>
    </w:p>
    <w:p w:rsidR="00AE04F6" w:rsidRPr="00D018F8" w:rsidRDefault="00697A29" w:rsidP="00AE04F6">
      <w:pPr>
        <w:ind w:left="1985" w:hanging="1985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 w:rsidRPr="00697A29">
        <w:rPr>
          <w:rFonts w:eastAsiaTheme="minorEastAsia"/>
          <w:noProof/>
          <w:lang w:eastAsia="de-DE"/>
        </w:rPr>
        <w:pict>
          <v:shape id="_x0000_s1166" type="#_x0000_t202" style="position:absolute;left:0;text-align:left;margin-left:0;margin-top:52.75pt;width:456.25pt;height:21.95pt;z-index:251795456;mso-position-horizontal:center;mso-position-horizontal-relative:margin;mso-width-relative:margin;mso-height-relative:margin" strokecolor="#c0504d" strokeweight="1pt">
            <v:stroke dashstyle="dash"/>
            <v:shadow color="#868686"/>
            <v:textbox style="mso-next-textbox:#_x0000_s1166">
              <w:txbxContent>
                <w:p w:rsidR="000A10BD" w:rsidRDefault="000A10BD" w:rsidP="00AE04F6">
                  <w:r>
                    <w:t xml:space="preserve">Die </w:t>
                  </w:r>
                  <w:r w:rsidRPr="00D2194E">
                    <w:rPr>
                      <w:smallCaps/>
                    </w:rPr>
                    <w:t>Lugol</w:t>
                  </w:r>
                  <w:r>
                    <w:t>’sche Lösung sollte vorher von der Lehrperson angesetzt werden.</w:t>
                  </w:r>
                </w:p>
                <w:p w:rsidR="000A10BD" w:rsidRPr="00530A18" w:rsidRDefault="000A10BD" w:rsidP="00AE04F6"/>
              </w:txbxContent>
            </v:textbox>
            <w10:wrap type="square" anchorx="margin"/>
          </v:shape>
        </w:pict>
      </w:r>
      <w:r w:rsidR="00AE04F6">
        <w:t>Literatur:</w:t>
      </w:r>
      <w:r w:rsidR="00AE04F6">
        <w:tab/>
      </w:r>
      <w:r w:rsidR="00D02AB7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M. Just, E. Just, O. Kownatzki, H. Keune, Eds., </w:t>
      </w:r>
      <w:r w:rsidR="00D02AB7" w:rsidRPr="005D06C0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Organische Chemie</w:t>
      </w:r>
      <w:r w:rsidR="00D02AB7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Volk Und Wissen, Berlin, </w:t>
      </w:r>
      <w:r w:rsidR="00D02AB7" w:rsidRPr="005D06C0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2009</w:t>
      </w:r>
      <w:r w:rsidR="00D02AB7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  <w:r w:rsidR="00D02AB7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S. 2</w:t>
      </w:r>
      <w:r w:rsidR="00BC01B1">
        <w:rPr>
          <w:rFonts w:asciiTheme="majorHAnsi" w:eastAsia="Times New Roman" w:hAnsiTheme="majorHAnsi" w:cs="Times New Roman"/>
          <w:color w:val="auto"/>
          <w:szCs w:val="24"/>
          <w:lang w:eastAsia="de-DE"/>
        </w:rPr>
        <w:t>12/213</w:t>
      </w:r>
      <w:r w:rsidR="00AE04F6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</w:p>
    <w:p w:rsidR="00AE04F6" w:rsidRDefault="00AE04F6" w:rsidP="00AE04F6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1923D0" w:rsidRPr="00984EF9" w:rsidRDefault="00697A29" w:rsidP="001923D0">
      <w:pPr>
        <w:pStyle w:val="berschrift2"/>
      </w:pPr>
      <w:r>
        <w:rPr>
          <w:noProof/>
          <w:lang w:eastAsia="de-DE"/>
        </w:rPr>
        <w:pict>
          <v:shape id="_x0000_s1168" type="#_x0000_t202" style="position:absolute;left:0;text-align:left;margin-left:-.05pt;margin-top:31.45pt;width:462.45pt;height:22.75pt;z-index:251797504;mso-width-relative:margin;mso-height-relative:margin" fillcolor="white [3201]" strokecolor="#4bacc6 [3208]" strokeweight="1pt">
            <v:stroke dashstyle="dash"/>
            <v:shadow color="#868686"/>
            <v:textbox style="mso-next-textbox:#_x0000_s1168">
              <w:txbxContent>
                <w:p w:rsidR="000A10BD" w:rsidRPr="00F31EBF" w:rsidRDefault="000A10BD" w:rsidP="001923D0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Mit diesem Versuch können Aldosen und Ketosen unterschieden werden.</w:t>
                  </w:r>
                </w:p>
              </w:txbxContent>
            </v:textbox>
            <w10:wrap type="square"/>
          </v:shape>
        </w:pict>
      </w:r>
      <w:bookmarkStart w:id="7" w:name="_Toc427186490"/>
      <w:r w:rsidR="001923D0">
        <w:t xml:space="preserve">V2 – </w:t>
      </w:r>
      <w:r w:rsidR="00B41916" w:rsidRPr="00B41916">
        <w:rPr>
          <w:smallCaps/>
        </w:rPr>
        <w:t>Seliwano</w:t>
      </w:r>
      <w:r w:rsidR="00C3718B">
        <w:rPr>
          <w:smallCaps/>
        </w:rPr>
        <w:t>w</w:t>
      </w:r>
      <w:r w:rsidR="00B41916">
        <w:t>-Reaktion</w:t>
      </w:r>
      <w:bookmarkEnd w:id="7"/>
    </w:p>
    <w:p w:rsidR="001923D0" w:rsidRDefault="001923D0" w:rsidP="001923D0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923D0" w:rsidRPr="009C5E28" w:rsidTr="004C1303">
        <w:tc>
          <w:tcPr>
            <w:tcW w:w="9322" w:type="dxa"/>
            <w:gridSpan w:val="9"/>
            <w:shd w:val="clear" w:color="auto" w:fill="4F81BD"/>
            <w:vAlign w:val="center"/>
          </w:tcPr>
          <w:p w:rsidR="001923D0" w:rsidRPr="00F31EBF" w:rsidRDefault="001923D0" w:rsidP="004C130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1923D0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Default="00B41916" w:rsidP="004C130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Salzsäure (w = 37 %)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B41916" w:rsidP="00B4191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314-335-290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923D0" w:rsidRPr="009C5E28" w:rsidRDefault="00B41916" w:rsidP="004C130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234-260-305+361+338-303+361+353-304+340-309+311-501.1</w:t>
            </w:r>
          </w:p>
        </w:tc>
      </w:tr>
      <w:tr w:rsidR="00B41916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41916" w:rsidRDefault="00E834F1" w:rsidP="004C130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Fructose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B41916" w:rsidRDefault="00E834F1" w:rsidP="00B4191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B41916" w:rsidRDefault="00E834F1" w:rsidP="004C130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834F1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4F1" w:rsidRDefault="00E834F1" w:rsidP="004C130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Glucose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4F1" w:rsidRDefault="00E834F1" w:rsidP="00B4191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834F1" w:rsidRDefault="00E834F1" w:rsidP="004C130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834F1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4F1" w:rsidRDefault="00E834F1" w:rsidP="004C130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Maltose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4F1" w:rsidRDefault="00E834F1" w:rsidP="00B4191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834F1" w:rsidRDefault="00E834F1" w:rsidP="004C130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834F1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4F1" w:rsidRDefault="00E834F1" w:rsidP="004C130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Saccharose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4F1" w:rsidRDefault="00E834F1" w:rsidP="00B4191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834F1" w:rsidRDefault="00E834F1" w:rsidP="004C130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E834F1" w:rsidRPr="009C5E28" w:rsidTr="004C13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4F1" w:rsidRDefault="00E834F1" w:rsidP="004C1303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Resorcin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4F1" w:rsidRDefault="00E834F1" w:rsidP="00B41916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302-319-315-400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834F1" w:rsidRDefault="00E834F1" w:rsidP="004C1303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P:273-302+352-305+351+338</w:t>
            </w:r>
          </w:p>
        </w:tc>
      </w:tr>
      <w:tr w:rsidR="001923D0" w:rsidRPr="009C5E28" w:rsidTr="004C130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14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8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923D0" w:rsidRPr="009C5E28" w:rsidRDefault="001923D0" w:rsidP="004C13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9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23D0" w:rsidRDefault="001923D0" w:rsidP="001923D0">
      <w:pPr>
        <w:tabs>
          <w:tab w:val="left" w:pos="1701"/>
          <w:tab w:val="left" w:pos="1985"/>
        </w:tabs>
        <w:ind w:left="1980" w:hanging="1980"/>
      </w:pPr>
    </w:p>
    <w:p w:rsidR="001923D0" w:rsidRDefault="001923D0" w:rsidP="001923D0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E834F1">
        <w:t>4 Reagenzgläser, Reagenzglasständer, Pipette, Spatel.</w:t>
      </w:r>
    </w:p>
    <w:p w:rsidR="001923D0" w:rsidRPr="00ED07C2" w:rsidRDefault="001923D0" w:rsidP="001923D0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BC01B1">
        <w:t xml:space="preserve">Glucose, </w:t>
      </w:r>
      <w:r w:rsidR="00E834F1">
        <w:t>Fructose, Maltose, Saccharose, Salzsäure (w = 37 %), Resorcin.</w:t>
      </w:r>
    </w:p>
    <w:p w:rsidR="001923D0" w:rsidRDefault="001923D0" w:rsidP="001923D0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</w:r>
      <w:r w:rsidR="00E834F1">
        <w:t xml:space="preserve">In den </w:t>
      </w:r>
      <w:r w:rsidR="00F64EA8">
        <w:t>4</w:t>
      </w:r>
      <w:r w:rsidR="00E834F1">
        <w:t xml:space="preserve"> Reagenzgläsern wird jeweils 0,5 g </w:t>
      </w:r>
      <w:r w:rsidR="00F64EA8">
        <w:t xml:space="preserve">Glucose, </w:t>
      </w:r>
      <w:r w:rsidR="00E834F1">
        <w:t>Fructose, Maltose und Saccharose vorgelegt. Zu den Proben werden jeweils 2 mL konzentrierte Salzsäure gegeben. Die Proben werden vorsichtig geschüttelt, damit sich die Zucker lösen. Es wird zu jeder Probe eine Spatelspitze Resorcin gegeben.</w:t>
      </w:r>
    </w:p>
    <w:p w:rsidR="001923D0" w:rsidRDefault="001923D0" w:rsidP="001923D0">
      <w:pPr>
        <w:tabs>
          <w:tab w:val="left" w:pos="1701"/>
          <w:tab w:val="left" w:pos="1985"/>
        </w:tabs>
        <w:ind w:left="1980" w:hanging="1980"/>
      </w:pPr>
      <w:r>
        <w:t>Be</w:t>
      </w:r>
      <w:r w:rsidR="00213033">
        <w:t>obachtung:</w:t>
      </w:r>
      <w:r w:rsidR="00213033">
        <w:tab/>
      </w:r>
      <w:r w:rsidR="00213033">
        <w:tab/>
      </w:r>
      <w:r w:rsidR="00213033">
        <w:tab/>
      </w:r>
      <w:r w:rsidR="00E834F1">
        <w:t>Die Lösung mit Fructose und Saccharose fär</w:t>
      </w:r>
      <w:r w:rsidR="00F64EA8">
        <w:t>bt sich rötlich</w:t>
      </w:r>
      <w:r w:rsidR="00E834F1">
        <w:t>.</w:t>
      </w:r>
      <w:r w:rsidR="00BC01B1">
        <w:t xml:space="preserve"> Die Lösung mit Glucose und Maltose bleibt farblos.</w:t>
      </w:r>
    </w:p>
    <w:p w:rsidR="001923D0" w:rsidRDefault="00E834F1" w:rsidP="001923D0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621113" cy="1406105"/>
            <wp:effectExtent l="19050" t="0" r="7787" b="0"/>
            <wp:docPr id="3" name="Bild 1" descr="C:\Users\Dennis Roggenkämper\Desktop\KH\IMG_2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nis Roggenkämper\Desktop\KH\IMG_2437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113" cy="140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34F1">
        <w:rPr>
          <w:noProof/>
          <w:lang w:eastAsia="de-DE"/>
        </w:rPr>
        <w:t xml:space="preserve"> </w:t>
      </w:r>
    </w:p>
    <w:p w:rsidR="001923D0" w:rsidRPr="00247452" w:rsidRDefault="00736B14" w:rsidP="001923D0">
      <w:pPr>
        <w:pStyle w:val="Beschriftung"/>
        <w:jc w:val="center"/>
      </w:pPr>
      <w:r>
        <w:t>Abb. 6</w:t>
      </w:r>
      <w:r w:rsidR="001923D0" w:rsidRPr="00247452">
        <w:t xml:space="preserve"> – </w:t>
      </w:r>
      <w:r w:rsidR="00F64EA8">
        <w:rPr>
          <w:noProof/>
        </w:rPr>
        <w:t>Die Fru</w:t>
      </w:r>
      <w:r w:rsidR="00BC01B1">
        <w:rPr>
          <w:noProof/>
        </w:rPr>
        <w:t>ctose- (l.) und Saccharose-Lsg.</w:t>
      </w:r>
      <w:r w:rsidR="00F64EA8">
        <w:rPr>
          <w:noProof/>
        </w:rPr>
        <w:t xml:space="preserve"> (2. v. l</w:t>
      </w:r>
      <w:r w:rsidR="001923D0" w:rsidRPr="00247452">
        <w:rPr>
          <w:noProof/>
        </w:rPr>
        <w:t>.</w:t>
      </w:r>
      <w:r w:rsidR="00F64EA8">
        <w:rPr>
          <w:noProof/>
        </w:rPr>
        <w:t>) färben sich rötlich.</w:t>
      </w:r>
    </w:p>
    <w:p w:rsidR="007457E4" w:rsidRDefault="001923D0" w:rsidP="00C3718B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C3718B">
        <w:t xml:space="preserve">Die Salzsäure katalysiert die Spaltung der Disaccharide. Bei der Spaltung von Saccharose entstehen Glucose und Fructose, bei der Spaltung von Maltose entstehen zwei Glucose Monomere. </w:t>
      </w:r>
    </w:p>
    <w:p w:rsidR="001923D0" w:rsidRDefault="007457E4" w:rsidP="00C3718B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</w:r>
      <w:r w:rsidR="00C3718B">
        <w:t>Fructose spaltet unter sauren Bedingungen Wasser ab, wodurch 5-Hydroxymethylfurfural entsteht. 5-Hydroxymethylfurfural</w:t>
      </w:r>
      <w:r w:rsidR="003F689C">
        <w:t xml:space="preserve"> bildet mit Resorcin und dem Luftsauerstoff unter Abspaltung von 3 Wassermolekülen einen rötlichen Farbstoff.</w:t>
      </w:r>
    </w:p>
    <w:p w:rsidR="003F689C" w:rsidRDefault="003F689C" w:rsidP="00C3718B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>Aldosen, wie Glucose, reagieren nicht nach diesem Mechanismus.</w:t>
      </w:r>
    </w:p>
    <w:p w:rsidR="007457E4" w:rsidRPr="00C3718B" w:rsidRDefault="007457E4" w:rsidP="00C3718B">
      <w:pPr>
        <w:tabs>
          <w:tab w:val="left" w:pos="1701"/>
          <w:tab w:val="left" w:pos="1985"/>
        </w:tabs>
        <w:ind w:left="1985" w:hanging="1985"/>
        <w:rPr>
          <w:rFonts w:eastAsiaTheme="minorEastAsia"/>
        </w:rPr>
      </w:pPr>
      <w:r>
        <w:object w:dxaOrig="9967" w:dyaOrig="2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123.95pt" o:ole="">
            <v:imagedata r:id="rId34" o:title=""/>
          </v:shape>
          <o:OLEObject Type="Embed" ProgID="ChemDraw.Document.6.0" ShapeID="_x0000_i1025" DrawAspect="Content" ObjectID="_1501572304" r:id="rId35"/>
        </w:object>
      </w:r>
    </w:p>
    <w:p w:rsidR="001923D0" w:rsidRDefault="00213033" w:rsidP="001923D0">
      <w:pPr>
        <w:spacing w:line="276" w:lineRule="auto"/>
        <w:ind w:left="1985" w:hanging="1985"/>
        <w:jc w:val="left"/>
      </w:pPr>
      <w:r>
        <w:t>Entsorgung:</w:t>
      </w:r>
      <w:r>
        <w:tab/>
      </w:r>
      <w:r w:rsidR="00F64EA8">
        <w:t>Die Lösungen werden in den Sammelbehälter für organische Farbstoffe gegeben.</w:t>
      </w:r>
    </w:p>
    <w:p w:rsidR="001923D0" w:rsidRPr="00682093" w:rsidRDefault="00697A29" w:rsidP="00BE6515">
      <w:pPr>
        <w:tabs>
          <w:tab w:val="left" w:pos="1701"/>
          <w:tab w:val="left" w:pos="1985"/>
        </w:tabs>
        <w:ind w:left="1980" w:hanging="1980"/>
        <w:rPr>
          <w:rFonts w:asciiTheme="majorHAnsi" w:eastAsia="Times New Roman" w:hAnsiTheme="majorHAnsi" w:cs="Times New Roman"/>
          <w:color w:val="auto"/>
          <w:szCs w:val="24"/>
          <w:lang w:eastAsia="de-DE"/>
        </w:rPr>
      </w:pPr>
      <w:r w:rsidRPr="00697A29">
        <w:rPr>
          <w:rFonts w:eastAsiaTheme="minorEastAsia"/>
          <w:noProof/>
          <w:lang w:eastAsia="de-DE"/>
        </w:rPr>
        <w:pict>
          <v:shape id="_x0000_s1169" type="#_x0000_t202" style="position:absolute;left:0;text-align:left;margin-left:-.05pt;margin-top:51.6pt;width:456.25pt;height:23.8pt;z-index:251798528;mso-position-horizontal-relative:margin;mso-width-relative:margin;mso-height-relative:margin" strokecolor="#c0504d" strokeweight="1pt">
            <v:stroke dashstyle="dash"/>
            <v:shadow color="#868686"/>
            <v:textbox style="mso-next-textbox:#_x0000_s1169">
              <w:txbxContent>
                <w:p w:rsidR="000A10BD" w:rsidRDefault="000A10BD" w:rsidP="001923D0">
                  <w:r>
                    <w:t>Der Reaktionsmechanismus ist vom Schwierigkeitsgrad nur für einen Leistungskurs geeignet.</w:t>
                  </w:r>
                </w:p>
                <w:p w:rsidR="000A10BD" w:rsidRPr="00530A18" w:rsidRDefault="000A10BD" w:rsidP="001923D0"/>
              </w:txbxContent>
            </v:textbox>
            <w10:wrap type="square" anchorx="margin"/>
          </v:shape>
        </w:pict>
      </w:r>
      <w:r w:rsidR="001923D0" w:rsidRPr="00682093">
        <w:t>Literatur:</w:t>
      </w:r>
      <w:r w:rsidR="001923D0" w:rsidRPr="00682093">
        <w:tab/>
      </w:r>
      <w:r w:rsidR="007457E4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M. Just, E. Just, O. Kownatzki, H. Keune, Eds., </w:t>
      </w:r>
      <w:r w:rsidR="007457E4" w:rsidRPr="005D06C0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Organische Chemie</w:t>
      </w:r>
      <w:r w:rsidR="007457E4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Volk Und Wissen, Berlin, </w:t>
      </w:r>
      <w:r w:rsidR="007457E4" w:rsidRPr="005D06C0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2009</w:t>
      </w:r>
      <w:r w:rsidR="007457E4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  <w:r w:rsidR="007457E4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S. 211</w:t>
      </w:r>
      <w:r w:rsidR="007457E4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</w:p>
    <w:sectPr w:rsidR="001923D0" w:rsidRPr="00682093" w:rsidSect="005B0270">
      <w:headerReference w:type="default" r:id="rId36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E4E" w:rsidRDefault="00F95E4E" w:rsidP="0086227B">
      <w:pPr>
        <w:spacing w:after="0" w:line="240" w:lineRule="auto"/>
      </w:pPr>
      <w:r>
        <w:separator/>
      </w:r>
    </w:p>
  </w:endnote>
  <w:endnote w:type="continuationSeparator" w:id="0">
    <w:p w:rsidR="00F95E4E" w:rsidRDefault="00F95E4E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BD" w:rsidRDefault="000A10B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BD" w:rsidRDefault="000A10BD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BD" w:rsidRDefault="000A10B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E4E" w:rsidRDefault="00F95E4E" w:rsidP="0086227B">
      <w:pPr>
        <w:spacing w:after="0" w:line="240" w:lineRule="auto"/>
      </w:pPr>
      <w:r>
        <w:separator/>
      </w:r>
    </w:p>
  </w:footnote>
  <w:footnote w:type="continuationSeparator" w:id="0">
    <w:p w:rsidR="00F95E4E" w:rsidRDefault="00F95E4E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BD" w:rsidRDefault="000A10BD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BD" w:rsidRPr="005B0270" w:rsidRDefault="000A10BD" w:rsidP="005B027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BD" w:rsidRDefault="000A10BD">
    <w:pPr>
      <w:pStyle w:val="Kopfzeil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0A10BD" w:rsidRPr="0080101C" w:rsidRDefault="00697A29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4C52DC" w:rsidRPr="004C52DC">
            <w:rPr>
              <w:b/>
              <w:bCs/>
              <w:noProof/>
              <w:sz w:val="20"/>
            </w:rPr>
            <w:t>2</w:t>
          </w:r>
        </w:fldSimple>
        <w:r w:rsidR="000A10BD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4C52DC">
            <w:rPr>
              <w:noProof/>
            </w:rPr>
            <w:t>Weitere Schülerversuche</w:t>
          </w:r>
        </w:fldSimple>
        <w:r w:rsidR="000A10BD" w:rsidRPr="0080101C">
          <w:rPr>
            <w:rFonts w:asciiTheme="majorHAnsi" w:hAnsiTheme="majorHAnsi"/>
            <w:sz w:val="20"/>
            <w:szCs w:val="20"/>
          </w:rPr>
          <w:tab/>
        </w:r>
        <w:r w:rsidR="000A10BD" w:rsidRPr="0080101C">
          <w:rPr>
            <w:rFonts w:asciiTheme="majorHAnsi" w:hAnsiTheme="majorHAnsi"/>
            <w:sz w:val="20"/>
            <w:szCs w:val="20"/>
          </w:rPr>
          <w:tab/>
        </w:r>
        <w:r w:rsidR="000A10BD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0A10BD" w:rsidRPr="0080101C" w:rsidRDefault="00697A29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25C"/>
    <w:rsid w:val="00007E3F"/>
    <w:rsid w:val="00011800"/>
    <w:rsid w:val="000137A3"/>
    <w:rsid w:val="00014E7D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82B99"/>
    <w:rsid w:val="000972FF"/>
    <w:rsid w:val="000A10BD"/>
    <w:rsid w:val="000A6DAA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305A"/>
    <w:rsid w:val="0012481E"/>
    <w:rsid w:val="00125CEA"/>
    <w:rsid w:val="0013621E"/>
    <w:rsid w:val="001469FD"/>
    <w:rsid w:val="001518B9"/>
    <w:rsid w:val="00153EA8"/>
    <w:rsid w:val="00157F3D"/>
    <w:rsid w:val="001804EB"/>
    <w:rsid w:val="001879E7"/>
    <w:rsid w:val="001923D0"/>
    <w:rsid w:val="001A7524"/>
    <w:rsid w:val="001B46E0"/>
    <w:rsid w:val="001C5EFC"/>
    <w:rsid w:val="001E06C9"/>
    <w:rsid w:val="001E4EB6"/>
    <w:rsid w:val="00206D6B"/>
    <w:rsid w:val="0021031E"/>
    <w:rsid w:val="00213033"/>
    <w:rsid w:val="00216E3C"/>
    <w:rsid w:val="0023241F"/>
    <w:rsid w:val="002347FE"/>
    <w:rsid w:val="002375EF"/>
    <w:rsid w:val="00246184"/>
    <w:rsid w:val="00247452"/>
    <w:rsid w:val="00254F3F"/>
    <w:rsid w:val="00270289"/>
    <w:rsid w:val="002735CE"/>
    <w:rsid w:val="0028080E"/>
    <w:rsid w:val="0028646F"/>
    <w:rsid w:val="00291EA3"/>
    <w:rsid w:val="002944CF"/>
    <w:rsid w:val="002A716F"/>
    <w:rsid w:val="002A7855"/>
    <w:rsid w:val="002B0B14"/>
    <w:rsid w:val="002C50D4"/>
    <w:rsid w:val="002E0F34"/>
    <w:rsid w:val="002E2DD3"/>
    <w:rsid w:val="002E38A0"/>
    <w:rsid w:val="002E5DD7"/>
    <w:rsid w:val="002E5FCC"/>
    <w:rsid w:val="002E77C7"/>
    <w:rsid w:val="002F25D2"/>
    <w:rsid w:val="002F38EE"/>
    <w:rsid w:val="002F3D6A"/>
    <w:rsid w:val="002F778D"/>
    <w:rsid w:val="0030101E"/>
    <w:rsid w:val="00333702"/>
    <w:rsid w:val="0033677B"/>
    <w:rsid w:val="00336B3B"/>
    <w:rsid w:val="00337B69"/>
    <w:rsid w:val="00344BB7"/>
    <w:rsid w:val="00345293"/>
    <w:rsid w:val="00345F54"/>
    <w:rsid w:val="0038284A"/>
    <w:rsid w:val="003837C2"/>
    <w:rsid w:val="00384682"/>
    <w:rsid w:val="003B49C6"/>
    <w:rsid w:val="003C5747"/>
    <w:rsid w:val="003D529E"/>
    <w:rsid w:val="003D60B9"/>
    <w:rsid w:val="003E69AB"/>
    <w:rsid w:val="003F1D80"/>
    <w:rsid w:val="003F3270"/>
    <w:rsid w:val="003F689C"/>
    <w:rsid w:val="00401750"/>
    <w:rsid w:val="004102B8"/>
    <w:rsid w:val="00415168"/>
    <w:rsid w:val="0041565C"/>
    <w:rsid w:val="00416871"/>
    <w:rsid w:val="00434D4E"/>
    <w:rsid w:val="00434F30"/>
    <w:rsid w:val="00442EB1"/>
    <w:rsid w:val="00486C9F"/>
    <w:rsid w:val="0049087A"/>
    <w:rsid w:val="004944F3"/>
    <w:rsid w:val="004A10F2"/>
    <w:rsid w:val="004B200E"/>
    <w:rsid w:val="004B3E0E"/>
    <w:rsid w:val="004C1303"/>
    <w:rsid w:val="004C463A"/>
    <w:rsid w:val="004C52DC"/>
    <w:rsid w:val="004C64A6"/>
    <w:rsid w:val="004D2994"/>
    <w:rsid w:val="004D321A"/>
    <w:rsid w:val="004F1A17"/>
    <w:rsid w:val="004F64CD"/>
    <w:rsid w:val="00503C6A"/>
    <w:rsid w:val="005115B1"/>
    <w:rsid w:val="00511B2E"/>
    <w:rsid w:val="005131C3"/>
    <w:rsid w:val="00513B92"/>
    <w:rsid w:val="005228A9"/>
    <w:rsid w:val="005240FE"/>
    <w:rsid w:val="00526F69"/>
    <w:rsid w:val="00530A18"/>
    <w:rsid w:val="00532CD5"/>
    <w:rsid w:val="00542277"/>
    <w:rsid w:val="00544922"/>
    <w:rsid w:val="005650D4"/>
    <w:rsid w:val="005669B2"/>
    <w:rsid w:val="00573463"/>
    <w:rsid w:val="00573704"/>
    <w:rsid w:val="00574063"/>
    <w:rsid w:val="005745F8"/>
    <w:rsid w:val="0057596C"/>
    <w:rsid w:val="00576C62"/>
    <w:rsid w:val="005819A9"/>
    <w:rsid w:val="00591B02"/>
    <w:rsid w:val="00595177"/>
    <w:rsid w:val="005978FA"/>
    <w:rsid w:val="005A2E89"/>
    <w:rsid w:val="005B0270"/>
    <w:rsid w:val="005B1F71"/>
    <w:rsid w:val="005B23FC"/>
    <w:rsid w:val="005B4060"/>
    <w:rsid w:val="005B60E3"/>
    <w:rsid w:val="005D06C0"/>
    <w:rsid w:val="005E1939"/>
    <w:rsid w:val="005E3970"/>
    <w:rsid w:val="005F1720"/>
    <w:rsid w:val="005F2176"/>
    <w:rsid w:val="0060228D"/>
    <w:rsid w:val="00626874"/>
    <w:rsid w:val="00631F0F"/>
    <w:rsid w:val="00637239"/>
    <w:rsid w:val="00654117"/>
    <w:rsid w:val="006636D0"/>
    <w:rsid w:val="00672281"/>
    <w:rsid w:val="00681739"/>
    <w:rsid w:val="00682093"/>
    <w:rsid w:val="00690534"/>
    <w:rsid w:val="006943C9"/>
    <w:rsid w:val="0069687C"/>
    <w:rsid w:val="006968E6"/>
    <w:rsid w:val="00697A29"/>
    <w:rsid w:val="006A0F35"/>
    <w:rsid w:val="006B3EC2"/>
    <w:rsid w:val="006C0F5C"/>
    <w:rsid w:val="006C5B0D"/>
    <w:rsid w:val="006C700F"/>
    <w:rsid w:val="006C7B24"/>
    <w:rsid w:val="006E32AF"/>
    <w:rsid w:val="006E451C"/>
    <w:rsid w:val="006F4715"/>
    <w:rsid w:val="00707392"/>
    <w:rsid w:val="0072123D"/>
    <w:rsid w:val="00732193"/>
    <w:rsid w:val="00736B14"/>
    <w:rsid w:val="00737FC0"/>
    <w:rsid w:val="00744823"/>
    <w:rsid w:val="007457E4"/>
    <w:rsid w:val="00746773"/>
    <w:rsid w:val="00775EEC"/>
    <w:rsid w:val="0078071E"/>
    <w:rsid w:val="00790D3B"/>
    <w:rsid w:val="007A642D"/>
    <w:rsid w:val="007A7FA8"/>
    <w:rsid w:val="007D3F8F"/>
    <w:rsid w:val="007E586C"/>
    <w:rsid w:val="007E7412"/>
    <w:rsid w:val="007F2348"/>
    <w:rsid w:val="00801678"/>
    <w:rsid w:val="008042F5"/>
    <w:rsid w:val="00815B8E"/>
    <w:rsid w:val="00815FB9"/>
    <w:rsid w:val="0082230A"/>
    <w:rsid w:val="00837114"/>
    <w:rsid w:val="0086227B"/>
    <w:rsid w:val="008664DF"/>
    <w:rsid w:val="00870260"/>
    <w:rsid w:val="008751E8"/>
    <w:rsid w:val="00875E5B"/>
    <w:rsid w:val="0088451A"/>
    <w:rsid w:val="00886EE0"/>
    <w:rsid w:val="008957F8"/>
    <w:rsid w:val="00896D5A"/>
    <w:rsid w:val="008A284B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8E567B"/>
    <w:rsid w:val="008F79B1"/>
    <w:rsid w:val="00905459"/>
    <w:rsid w:val="00912B4F"/>
    <w:rsid w:val="00913D97"/>
    <w:rsid w:val="00936F75"/>
    <w:rsid w:val="0094350A"/>
    <w:rsid w:val="00946F4E"/>
    <w:rsid w:val="00954DC8"/>
    <w:rsid w:val="00961647"/>
    <w:rsid w:val="00966548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B0D3F"/>
    <w:rsid w:val="009C6F21"/>
    <w:rsid w:val="009C7687"/>
    <w:rsid w:val="009D0173"/>
    <w:rsid w:val="009D150C"/>
    <w:rsid w:val="009D26DA"/>
    <w:rsid w:val="009D4BD9"/>
    <w:rsid w:val="009E622C"/>
    <w:rsid w:val="009F0667"/>
    <w:rsid w:val="009F0CE9"/>
    <w:rsid w:val="009F5A39"/>
    <w:rsid w:val="009F61D4"/>
    <w:rsid w:val="00A006C3"/>
    <w:rsid w:val="00A012CE"/>
    <w:rsid w:val="00A0582F"/>
    <w:rsid w:val="00A05C2F"/>
    <w:rsid w:val="00A1501E"/>
    <w:rsid w:val="00A2136F"/>
    <w:rsid w:val="00A2301A"/>
    <w:rsid w:val="00A32130"/>
    <w:rsid w:val="00A61671"/>
    <w:rsid w:val="00A7318B"/>
    <w:rsid w:val="00A7439F"/>
    <w:rsid w:val="00A75F0A"/>
    <w:rsid w:val="00A778C9"/>
    <w:rsid w:val="00A9073B"/>
    <w:rsid w:val="00A90BD6"/>
    <w:rsid w:val="00A9233D"/>
    <w:rsid w:val="00A96F52"/>
    <w:rsid w:val="00AA604B"/>
    <w:rsid w:val="00AA612B"/>
    <w:rsid w:val="00AD0C24"/>
    <w:rsid w:val="00AD7D1F"/>
    <w:rsid w:val="00AE04F6"/>
    <w:rsid w:val="00AE1230"/>
    <w:rsid w:val="00B02829"/>
    <w:rsid w:val="00B170EE"/>
    <w:rsid w:val="00B21F20"/>
    <w:rsid w:val="00B32E27"/>
    <w:rsid w:val="00B36099"/>
    <w:rsid w:val="00B41916"/>
    <w:rsid w:val="00B433C0"/>
    <w:rsid w:val="00B51643"/>
    <w:rsid w:val="00B51B39"/>
    <w:rsid w:val="00B571E6"/>
    <w:rsid w:val="00B619BB"/>
    <w:rsid w:val="00B74965"/>
    <w:rsid w:val="00B901F6"/>
    <w:rsid w:val="00B93BBF"/>
    <w:rsid w:val="00B96C3C"/>
    <w:rsid w:val="00BA0E9B"/>
    <w:rsid w:val="00BA25F9"/>
    <w:rsid w:val="00BC01B1"/>
    <w:rsid w:val="00BC4F56"/>
    <w:rsid w:val="00BC5DA2"/>
    <w:rsid w:val="00BD1D31"/>
    <w:rsid w:val="00BD781E"/>
    <w:rsid w:val="00BE6515"/>
    <w:rsid w:val="00BF2E3A"/>
    <w:rsid w:val="00BF7B08"/>
    <w:rsid w:val="00C0569E"/>
    <w:rsid w:val="00C10E22"/>
    <w:rsid w:val="00C12650"/>
    <w:rsid w:val="00C23319"/>
    <w:rsid w:val="00C364B2"/>
    <w:rsid w:val="00C3718B"/>
    <w:rsid w:val="00C40A13"/>
    <w:rsid w:val="00C428C7"/>
    <w:rsid w:val="00C4561C"/>
    <w:rsid w:val="00C460EB"/>
    <w:rsid w:val="00C51D56"/>
    <w:rsid w:val="00C54E2E"/>
    <w:rsid w:val="00C66D91"/>
    <w:rsid w:val="00C85D41"/>
    <w:rsid w:val="00C878D7"/>
    <w:rsid w:val="00C923AB"/>
    <w:rsid w:val="00CA18C6"/>
    <w:rsid w:val="00CA6231"/>
    <w:rsid w:val="00CB2161"/>
    <w:rsid w:val="00CD1ABD"/>
    <w:rsid w:val="00CD58A3"/>
    <w:rsid w:val="00CD5E6C"/>
    <w:rsid w:val="00CE1F14"/>
    <w:rsid w:val="00CF0B61"/>
    <w:rsid w:val="00CF79FE"/>
    <w:rsid w:val="00D018F8"/>
    <w:rsid w:val="00D02AB7"/>
    <w:rsid w:val="00D069A2"/>
    <w:rsid w:val="00D1194E"/>
    <w:rsid w:val="00D1639B"/>
    <w:rsid w:val="00D2194E"/>
    <w:rsid w:val="00D23D5D"/>
    <w:rsid w:val="00D407E8"/>
    <w:rsid w:val="00D40EE3"/>
    <w:rsid w:val="00D54590"/>
    <w:rsid w:val="00D60010"/>
    <w:rsid w:val="00D75C00"/>
    <w:rsid w:val="00D76EE6"/>
    <w:rsid w:val="00D76F6F"/>
    <w:rsid w:val="00D84047"/>
    <w:rsid w:val="00D8431D"/>
    <w:rsid w:val="00D90F31"/>
    <w:rsid w:val="00D92822"/>
    <w:rsid w:val="00DA4DD1"/>
    <w:rsid w:val="00DA6545"/>
    <w:rsid w:val="00DC0309"/>
    <w:rsid w:val="00DC36C9"/>
    <w:rsid w:val="00DD53E8"/>
    <w:rsid w:val="00DE18A7"/>
    <w:rsid w:val="00DE636A"/>
    <w:rsid w:val="00E1266D"/>
    <w:rsid w:val="00E17CDE"/>
    <w:rsid w:val="00E22516"/>
    <w:rsid w:val="00E22D23"/>
    <w:rsid w:val="00E24354"/>
    <w:rsid w:val="00E26180"/>
    <w:rsid w:val="00E35FB4"/>
    <w:rsid w:val="00E51037"/>
    <w:rsid w:val="00E54798"/>
    <w:rsid w:val="00E834F1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2604C"/>
    <w:rsid w:val="00F26486"/>
    <w:rsid w:val="00F31EBF"/>
    <w:rsid w:val="00F3487A"/>
    <w:rsid w:val="00F64EA8"/>
    <w:rsid w:val="00F74A95"/>
    <w:rsid w:val="00F849B0"/>
    <w:rsid w:val="00F95E4E"/>
    <w:rsid w:val="00FA2145"/>
    <w:rsid w:val="00FA486B"/>
    <w:rsid w:val="00FA58C5"/>
    <w:rsid w:val="00FB3D74"/>
    <w:rsid w:val="00FC02BE"/>
    <w:rsid w:val="00FD644E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  <o:rules v:ext="edit">
        <o:r id="V:Rule3" type="connector" idref="#_x0000_s1183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3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517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94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3074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716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34" Type="http://schemas.openxmlformats.org/officeDocument/2006/relationships/image" Target="media/image21.emf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jpeg"/><Relationship Id="rId32" Type="http://schemas.openxmlformats.org/officeDocument/2006/relationships/image" Target="media/image19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jpeg"/><Relationship Id="rId36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jpeg"/><Relationship Id="rId30" Type="http://schemas.openxmlformats.org/officeDocument/2006/relationships/image" Target="media/image17.png"/><Relationship Id="rId35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C3DFF1E8-8ACD-478C-B563-28B3D4D77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1354</Words>
  <Characters>8534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Dennis Roggenkämper</cp:lastModifiedBy>
  <cp:revision>22</cp:revision>
  <cp:lastPrinted>2015-08-19T17:30:00Z</cp:lastPrinted>
  <dcterms:created xsi:type="dcterms:W3CDTF">2015-07-28T08:50:00Z</dcterms:created>
  <dcterms:modified xsi:type="dcterms:W3CDTF">2015-08-20T08:39:00Z</dcterms:modified>
</cp:coreProperties>
</file>