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5C" w:rsidRDefault="00EF115C" w:rsidP="00EF115C">
      <w:pPr>
        <w:pStyle w:val="berschrift2"/>
        <w:numPr>
          <w:ilvl w:val="0"/>
          <w:numId w:val="0"/>
        </w:numPr>
        <w:ind w:left="576" w:hanging="576"/>
      </w:pPr>
      <w:bookmarkStart w:id="0" w:name="_Toc427837111"/>
      <w:r>
        <w:t xml:space="preserve"> Elektrolytische Herstellung von Zink</w:t>
      </w:r>
      <w:bookmarkEnd w:id="0"/>
    </w:p>
    <w:p w:rsidR="00EF115C" w:rsidRPr="002D2FAB" w:rsidRDefault="00EF115C" w:rsidP="00EF115C">
      <w:r>
        <w:pict>
          <v:shapetype id="_x0000_t202" coordsize="21600,21600" o:spt="202" path="m,l,21600r21600,l21600,xe">
            <v:stroke joinstyle="miter"/>
            <v:path gradientshapeok="t" o:connecttype="rect"/>
          </v:shapetype>
          <v:shape id="_x0000_s1026" type="#_x0000_t202" style="width:462.45pt;height:86.65pt;mso-position-horizontal-relative:char;mso-position-vertical-relative:line;mso-width-relative:margin;mso-height-relative:margin" fillcolor="white [3201]" strokecolor="#c0504d [3205]" strokeweight="1pt">
            <v:stroke dashstyle="dash"/>
            <v:shadow color="#868686"/>
            <v:textbox style="mso-next-textbox:#_x0000_s1026">
              <w:txbxContent>
                <w:p w:rsidR="00EF115C" w:rsidRPr="00F31EBF" w:rsidRDefault="00EF115C" w:rsidP="00EF115C">
                  <w:pPr>
                    <w:rPr>
                      <w:color w:val="auto"/>
                    </w:rPr>
                  </w:pPr>
                  <w:r>
                    <w:rPr>
                      <w:color w:val="auto"/>
                    </w:rPr>
                    <w:t>Der nachfolgende Versuch zeigt die elektrolytische Herstellung von Zink. Er ist unbedingt als Lehrerversuch durchzuführen, da eine Bleielektrode verwendet wird. Deshalb sollte unbedingt auf das Tragen von Handschuhen geachtet und das Schmirgeln der Elektroden unter dem A</w:t>
                  </w:r>
                  <w:r>
                    <w:rPr>
                      <w:color w:val="auto"/>
                    </w:rPr>
                    <w:t>b</w:t>
                  </w:r>
                  <w:r>
                    <w:rPr>
                      <w:color w:val="auto"/>
                    </w:rPr>
                    <w:t xml:space="preserve">zug durchgeführt werden. </w:t>
                  </w:r>
                </w:p>
              </w:txbxContent>
            </v:textbox>
            <w10:wrap type="none"/>
            <w10:anchorlock/>
          </v:shape>
        </w:pict>
      </w:r>
    </w:p>
    <w:p w:rsidR="00EF115C" w:rsidRDefault="00EF115C" w:rsidP="00EF115C">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EF115C" w:rsidRPr="00994885" w:rsidTr="00C27408">
        <w:tc>
          <w:tcPr>
            <w:tcW w:w="9322" w:type="dxa"/>
            <w:gridSpan w:val="9"/>
            <w:shd w:val="clear" w:color="auto" w:fill="4F81BD"/>
            <w:vAlign w:val="center"/>
          </w:tcPr>
          <w:p w:rsidR="00EF115C" w:rsidRPr="00994885" w:rsidRDefault="00EF115C" w:rsidP="00C27408">
            <w:pPr>
              <w:spacing w:after="0"/>
              <w:jc w:val="center"/>
              <w:rPr>
                <w:b/>
                <w:bCs/>
                <w:color w:val="FFFFFF" w:themeColor="background1"/>
                <w:sz w:val="20"/>
                <w:szCs w:val="20"/>
              </w:rPr>
            </w:pPr>
            <w:r w:rsidRPr="00994885">
              <w:rPr>
                <w:b/>
                <w:bCs/>
                <w:color w:val="FFFFFF" w:themeColor="background1"/>
                <w:sz w:val="20"/>
                <w:szCs w:val="20"/>
              </w:rPr>
              <w:t>Gefahrenstoffe</w:t>
            </w:r>
          </w:p>
        </w:tc>
      </w:tr>
      <w:tr w:rsidR="00EF115C" w:rsidRPr="00994885" w:rsidTr="00C27408">
        <w:trPr>
          <w:trHeight w:val="437"/>
        </w:trPr>
        <w:tc>
          <w:tcPr>
            <w:tcW w:w="3027" w:type="dxa"/>
            <w:gridSpan w:val="3"/>
            <w:shd w:val="clear" w:color="auto" w:fill="auto"/>
            <w:vAlign w:val="center"/>
          </w:tcPr>
          <w:p w:rsidR="00EF115C" w:rsidRPr="00994885" w:rsidRDefault="00EF115C" w:rsidP="00C27408">
            <w:pPr>
              <w:spacing w:after="0" w:line="276" w:lineRule="auto"/>
              <w:jc w:val="center"/>
              <w:rPr>
                <w:b/>
                <w:bCs/>
                <w:sz w:val="20"/>
                <w:szCs w:val="20"/>
              </w:rPr>
            </w:pPr>
            <w:r w:rsidRPr="00994885">
              <w:rPr>
                <w:sz w:val="20"/>
                <w:szCs w:val="20"/>
              </w:rPr>
              <w:t>Schwefelsäure (w=10%)</w:t>
            </w:r>
          </w:p>
        </w:tc>
        <w:tc>
          <w:tcPr>
            <w:tcW w:w="3177" w:type="dxa"/>
            <w:gridSpan w:val="3"/>
            <w:shd w:val="clear" w:color="auto" w:fill="auto"/>
            <w:vAlign w:val="center"/>
          </w:tcPr>
          <w:p w:rsidR="00EF115C" w:rsidRPr="00994885" w:rsidRDefault="00EF115C" w:rsidP="00C27408">
            <w:pPr>
              <w:spacing w:after="0"/>
              <w:jc w:val="center"/>
              <w:rPr>
                <w:sz w:val="20"/>
                <w:szCs w:val="20"/>
              </w:rPr>
            </w:pPr>
            <w:r w:rsidRPr="00994885">
              <w:rPr>
                <w:sz w:val="20"/>
                <w:szCs w:val="20"/>
              </w:rPr>
              <w:t>H: 314-290</w:t>
            </w:r>
          </w:p>
        </w:tc>
        <w:tc>
          <w:tcPr>
            <w:tcW w:w="3118" w:type="dxa"/>
            <w:gridSpan w:val="3"/>
            <w:shd w:val="clear" w:color="auto" w:fill="auto"/>
            <w:vAlign w:val="center"/>
          </w:tcPr>
          <w:p w:rsidR="00EF115C" w:rsidRPr="00994885" w:rsidRDefault="00EF115C" w:rsidP="00C27408">
            <w:pPr>
              <w:spacing w:after="0"/>
              <w:jc w:val="center"/>
              <w:rPr>
                <w:sz w:val="20"/>
                <w:szCs w:val="20"/>
              </w:rPr>
            </w:pPr>
            <w:r w:rsidRPr="00994885">
              <w:rPr>
                <w:sz w:val="20"/>
                <w:szCs w:val="20"/>
              </w:rPr>
              <w:t xml:space="preserve">P: </w:t>
            </w:r>
            <w:r>
              <w:rPr>
                <w:sz w:val="20"/>
                <w:szCs w:val="20"/>
              </w:rPr>
              <w:t>280-303+361+353-301+331-309+311</w:t>
            </w:r>
          </w:p>
        </w:tc>
      </w:tr>
      <w:tr w:rsidR="00EF115C" w:rsidRPr="00994885" w:rsidTr="00C27408">
        <w:trPr>
          <w:trHeight w:val="434"/>
        </w:trPr>
        <w:tc>
          <w:tcPr>
            <w:tcW w:w="3027" w:type="dxa"/>
            <w:gridSpan w:val="3"/>
            <w:shd w:val="clear" w:color="auto" w:fill="auto"/>
            <w:vAlign w:val="center"/>
          </w:tcPr>
          <w:p w:rsidR="00EF115C" w:rsidRPr="00AD0630" w:rsidRDefault="00EF115C" w:rsidP="00C27408">
            <w:pPr>
              <w:spacing w:after="0" w:line="276" w:lineRule="auto"/>
              <w:jc w:val="center"/>
              <w:rPr>
                <w:bCs/>
                <w:sz w:val="20"/>
                <w:szCs w:val="20"/>
              </w:rPr>
            </w:pPr>
            <w:r>
              <w:rPr>
                <w:bCs/>
                <w:sz w:val="20"/>
                <w:szCs w:val="20"/>
              </w:rPr>
              <w:t>Zinksulfat-</w:t>
            </w:r>
            <w:proofErr w:type="spellStart"/>
            <w:r>
              <w:rPr>
                <w:bCs/>
                <w:sz w:val="20"/>
                <w:szCs w:val="20"/>
              </w:rPr>
              <w:t>Heptahydrat</w:t>
            </w:r>
            <w:proofErr w:type="spellEnd"/>
            <w:r>
              <w:rPr>
                <w:bCs/>
                <w:sz w:val="20"/>
                <w:szCs w:val="20"/>
              </w:rPr>
              <w:t xml:space="preserve"> </w:t>
            </w:r>
          </w:p>
        </w:tc>
        <w:tc>
          <w:tcPr>
            <w:tcW w:w="3177" w:type="dxa"/>
            <w:gridSpan w:val="3"/>
            <w:shd w:val="clear" w:color="auto" w:fill="auto"/>
            <w:vAlign w:val="center"/>
          </w:tcPr>
          <w:p w:rsidR="00EF115C" w:rsidRPr="00AD0630" w:rsidRDefault="00EF115C" w:rsidP="00C27408">
            <w:pPr>
              <w:spacing w:after="0"/>
              <w:jc w:val="center"/>
              <w:rPr>
                <w:sz w:val="20"/>
                <w:szCs w:val="20"/>
              </w:rPr>
            </w:pPr>
            <w:r>
              <w:rPr>
                <w:sz w:val="20"/>
                <w:szCs w:val="20"/>
              </w:rPr>
              <w:t>H: 302-318-410</w:t>
            </w:r>
          </w:p>
        </w:tc>
        <w:tc>
          <w:tcPr>
            <w:tcW w:w="3118" w:type="dxa"/>
            <w:gridSpan w:val="3"/>
            <w:shd w:val="clear" w:color="auto" w:fill="auto"/>
            <w:vAlign w:val="center"/>
          </w:tcPr>
          <w:p w:rsidR="00EF115C" w:rsidRPr="00AD0630" w:rsidRDefault="00EF115C" w:rsidP="00C27408">
            <w:pPr>
              <w:spacing w:after="0"/>
              <w:jc w:val="center"/>
              <w:rPr>
                <w:sz w:val="20"/>
                <w:szCs w:val="20"/>
              </w:rPr>
            </w:pPr>
            <w:r>
              <w:rPr>
                <w:sz w:val="20"/>
                <w:szCs w:val="20"/>
              </w:rPr>
              <w:t>P: 280-273-305+351+338</w:t>
            </w:r>
          </w:p>
        </w:tc>
      </w:tr>
      <w:tr w:rsidR="00EF115C" w:rsidRPr="00994885" w:rsidTr="00C27408">
        <w:trPr>
          <w:trHeight w:val="434"/>
        </w:trPr>
        <w:tc>
          <w:tcPr>
            <w:tcW w:w="3027" w:type="dxa"/>
            <w:gridSpan w:val="3"/>
            <w:shd w:val="clear" w:color="auto" w:fill="auto"/>
            <w:vAlign w:val="center"/>
          </w:tcPr>
          <w:p w:rsidR="00EF115C" w:rsidRDefault="00EF115C" w:rsidP="00C27408">
            <w:pPr>
              <w:spacing w:after="0" w:line="276" w:lineRule="auto"/>
              <w:jc w:val="center"/>
              <w:rPr>
                <w:bCs/>
                <w:sz w:val="20"/>
                <w:szCs w:val="20"/>
              </w:rPr>
            </w:pPr>
            <w:r>
              <w:rPr>
                <w:bCs/>
                <w:sz w:val="20"/>
                <w:szCs w:val="20"/>
              </w:rPr>
              <w:t>Bleiblech</w:t>
            </w:r>
          </w:p>
        </w:tc>
        <w:tc>
          <w:tcPr>
            <w:tcW w:w="3177" w:type="dxa"/>
            <w:gridSpan w:val="3"/>
            <w:shd w:val="clear" w:color="auto" w:fill="auto"/>
            <w:vAlign w:val="center"/>
          </w:tcPr>
          <w:p w:rsidR="00EF115C" w:rsidRDefault="00EF115C" w:rsidP="00C27408">
            <w:pPr>
              <w:spacing w:after="0"/>
              <w:jc w:val="center"/>
              <w:rPr>
                <w:sz w:val="20"/>
                <w:szCs w:val="20"/>
              </w:rPr>
            </w:pPr>
            <w:r>
              <w:rPr>
                <w:sz w:val="20"/>
                <w:szCs w:val="20"/>
              </w:rPr>
              <w:t>H: 360Df-332-302-373-410</w:t>
            </w:r>
          </w:p>
        </w:tc>
        <w:tc>
          <w:tcPr>
            <w:tcW w:w="3118" w:type="dxa"/>
            <w:gridSpan w:val="3"/>
            <w:shd w:val="clear" w:color="auto" w:fill="auto"/>
            <w:vAlign w:val="center"/>
          </w:tcPr>
          <w:p w:rsidR="00EF115C" w:rsidRDefault="00EF115C" w:rsidP="00C27408">
            <w:pPr>
              <w:spacing w:after="0"/>
              <w:jc w:val="center"/>
              <w:rPr>
                <w:sz w:val="20"/>
                <w:szCs w:val="20"/>
              </w:rPr>
            </w:pPr>
            <w:r>
              <w:rPr>
                <w:sz w:val="20"/>
                <w:szCs w:val="20"/>
              </w:rPr>
              <w:t>P: 201-273-308+313</w:t>
            </w:r>
          </w:p>
        </w:tc>
      </w:tr>
      <w:tr w:rsidR="00EF115C" w:rsidRPr="00994885" w:rsidTr="00C27408">
        <w:tc>
          <w:tcPr>
            <w:tcW w:w="1009" w:type="dxa"/>
            <w:shd w:val="clear" w:color="auto" w:fill="auto"/>
            <w:vAlign w:val="center"/>
          </w:tcPr>
          <w:p w:rsidR="00EF115C" w:rsidRPr="00994885" w:rsidRDefault="00EF115C" w:rsidP="00C27408">
            <w:pPr>
              <w:spacing w:after="0"/>
              <w:jc w:val="center"/>
              <w:rPr>
                <w:b/>
                <w:bCs/>
                <w:sz w:val="20"/>
                <w:szCs w:val="20"/>
              </w:rPr>
            </w:pPr>
            <w:r w:rsidRPr="00994885">
              <w:rPr>
                <w:b/>
                <w:noProof/>
                <w:sz w:val="20"/>
                <w:szCs w:val="20"/>
                <w:lang w:eastAsia="de-DE"/>
              </w:rPr>
              <w:drawing>
                <wp:inline distT="0" distB="0" distL="0" distR="0">
                  <wp:extent cx="504190" cy="504190"/>
                  <wp:effectExtent l="0" t="0" r="0" b="0"/>
                  <wp:docPr id="8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F115C" w:rsidRPr="00994885" w:rsidRDefault="00EF115C" w:rsidP="00C27408">
            <w:pPr>
              <w:spacing w:after="0"/>
              <w:jc w:val="center"/>
              <w:rPr>
                <w:sz w:val="20"/>
                <w:szCs w:val="20"/>
              </w:rPr>
            </w:pPr>
            <w:r w:rsidRPr="00994885">
              <w:rPr>
                <w:noProof/>
                <w:sz w:val="20"/>
                <w:szCs w:val="20"/>
                <w:lang w:eastAsia="de-DE"/>
              </w:rPr>
              <w:drawing>
                <wp:inline distT="0" distB="0" distL="0" distR="0">
                  <wp:extent cx="504190" cy="504190"/>
                  <wp:effectExtent l="0" t="0" r="0" b="0"/>
                  <wp:docPr id="8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F115C" w:rsidRPr="00994885" w:rsidRDefault="00EF115C" w:rsidP="00C27408">
            <w:pPr>
              <w:spacing w:after="0"/>
              <w:jc w:val="center"/>
              <w:rPr>
                <w:sz w:val="20"/>
                <w:szCs w:val="20"/>
              </w:rPr>
            </w:pPr>
            <w:r w:rsidRPr="00994885">
              <w:rPr>
                <w:noProof/>
                <w:sz w:val="20"/>
                <w:szCs w:val="20"/>
                <w:lang w:eastAsia="de-DE"/>
              </w:rPr>
              <w:drawing>
                <wp:inline distT="0" distB="0" distL="0" distR="0">
                  <wp:extent cx="504190" cy="504190"/>
                  <wp:effectExtent l="0" t="0" r="0" b="0"/>
                  <wp:docPr id="8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F115C" w:rsidRPr="00994885" w:rsidRDefault="00EF115C" w:rsidP="00C27408">
            <w:pPr>
              <w:spacing w:after="0"/>
              <w:jc w:val="center"/>
              <w:rPr>
                <w:sz w:val="20"/>
                <w:szCs w:val="20"/>
              </w:rPr>
            </w:pPr>
            <w:r w:rsidRPr="00994885">
              <w:rPr>
                <w:noProof/>
                <w:sz w:val="20"/>
                <w:szCs w:val="20"/>
                <w:lang w:eastAsia="de-DE"/>
              </w:rPr>
              <w:drawing>
                <wp:inline distT="0" distB="0" distL="0" distR="0">
                  <wp:extent cx="504190" cy="504190"/>
                  <wp:effectExtent l="0" t="0" r="0" b="0"/>
                  <wp:docPr id="8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EF115C" w:rsidRPr="00994885" w:rsidRDefault="00EF115C" w:rsidP="00C27408">
            <w:pPr>
              <w:spacing w:after="0"/>
              <w:jc w:val="center"/>
              <w:rPr>
                <w:sz w:val="20"/>
                <w:szCs w:val="20"/>
              </w:rPr>
            </w:pPr>
            <w:r w:rsidRPr="00994885">
              <w:rPr>
                <w:noProof/>
                <w:sz w:val="20"/>
                <w:szCs w:val="20"/>
                <w:lang w:eastAsia="de-DE"/>
              </w:rPr>
              <w:drawing>
                <wp:inline distT="0" distB="0" distL="0" distR="0">
                  <wp:extent cx="504190" cy="504190"/>
                  <wp:effectExtent l="0" t="0" r="0" b="0"/>
                  <wp:docPr id="9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EF115C" w:rsidRPr="00994885" w:rsidRDefault="00EF115C" w:rsidP="00C27408">
            <w:pPr>
              <w:spacing w:after="0"/>
              <w:jc w:val="center"/>
              <w:rPr>
                <w:sz w:val="20"/>
                <w:szCs w:val="20"/>
              </w:rPr>
            </w:pPr>
            <w:r>
              <w:rPr>
                <w:noProof/>
                <w:sz w:val="20"/>
                <w:szCs w:val="20"/>
                <w:lang w:eastAsia="de-DE"/>
              </w:rPr>
              <w:drawing>
                <wp:inline distT="0" distB="0" distL="0" distR="0">
                  <wp:extent cx="493395" cy="493395"/>
                  <wp:effectExtent l="19050" t="0" r="1905" b="0"/>
                  <wp:docPr id="98" name="Grafik 97" descr="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0" cstate="print"/>
                          <a:stretch>
                            <a:fillRect/>
                          </a:stretch>
                        </pic:blipFill>
                        <pic:spPr>
                          <a:xfrm>
                            <a:off x="0" y="0"/>
                            <a:ext cx="493395" cy="493395"/>
                          </a:xfrm>
                          <a:prstGeom prst="rect">
                            <a:avLst/>
                          </a:prstGeom>
                        </pic:spPr>
                      </pic:pic>
                    </a:graphicData>
                  </a:graphic>
                </wp:inline>
              </w:drawing>
            </w:r>
          </w:p>
        </w:tc>
        <w:tc>
          <w:tcPr>
            <w:tcW w:w="975" w:type="dxa"/>
            <w:shd w:val="clear" w:color="auto" w:fill="auto"/>
            <w:vAlign w:val="center"/>
          </w:tcPr>
          <w:p w:rsidR="00EF115C" w:rsidRPr="00994885" w:rsidRDefault="00EF115C" w:rsidP="00C27408">
            <w:pPr>
              <w:spacing w:after="0"/>
              <w:jc w:val="center"/>
              <w:rPr>
                <w:sz w:val="20"/>
                <w:szCs w:val="20"/>
              </w:rPr>
            </w:pPr>
            <w:r w:rsidRPr="00994885">
              <w:rPr>
                <w:noProof/>
                <w:sz w:val="20"/>
                <w:szCs w:val="20"/>
                <w:lang w:eastAsia="de-DE"/>
              </w:rPr>
              <w:drawing>
                <wp:inline distT="0" distB="0" distL="0" distR="0">
                  <wp:extent cx="504190" cy="504190"/>
                  <wp:effectExtent l="0" t="0" r="0" b="0"/>
                  <wp:docPr id="9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F115C" w:rsidRPr="00994885" w:rsidRDefault="00EF115C" w:rsidP="00C27408">
            <w:pPr>
              <w:spacing w:after="0"/>
              <w:jc w:val="center"/>
              <w:rPr>
                <w:sz w:val="20"/>
                <w:szCs w:val="20"/>
              </w:rPr>
            </w:pPr>
            <w:r w:rsidRPr="00994885">
              <w:rPr>
                <w:noProof/>
                <w:sz w:val="20"/>
                <w:szCs w:val="20"/>
                <w:lang w:eastAsia="de-DE"/>
              </w:rPr>
              <w:drawing>
                <wp:inline distT="0" distB="0" distL="0" distR="0">
                  <wp:extent cx="511175" cy="511175"/>
                  <wp:effectExtent l="0" t="0" r="0" b="0"/>
                  <wp:docPr id="9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EF115C" w:rsidRPr="00994885" w:rsidRDefault="00EF115C" w:rsidP="00C27408">
            <w:pPr>
              <w:spacing w:after="0"/>
              <w:jc w:val="center"/>
              <w:rPr>
                <w:sz w:val="20"/>
                <w:szCs w:val="20"/>
              </w:rPr>
            </w:pPr>
            <w:r>
              <w:rPr>
                <w:noProof/>
                <w:sz w:val="20"/>
                <w:szCs w:val="20"/>
                <w:lang w:eastAsia="de-DE"/>
              </w:rPr>
              <w:drawing>
                <wp:inline distT="0" distB="0" distL="0" distR="0">
                  <wp:extent cx="582930" cy="582930"/>
                  <wp:effectExtent l="19050" t="0" r="7620" b="0"/>
                  <wp:docPr id="97" name="Grafik 96"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82930" cy="582930"/>
                          </a:xfrm>
                          <a:prstGeom prst="rect">
                            <a:avLst/>
                          </a:prstGeom>
                        </pic:spPr>
                      </pic:pic>
                    </a:graphicData>
                  </a:graphic>
                </wp:inline>
              </w:drawing>
            </w:r>
          </w:p>
        </w:tc>
      </w:tr>
    </w:tbl>
    <w:p w:rsidR="00EF115C" w:rsidRDefault="00EF115C" w:rsidP="00EF115C">
      <w:pPr>
        <w:tabs>
          <w:tab w:val="left" w:pos="1701"/>
          <w:tab w:val="left" w:pos="1985"/>
        </w:tabs>
        <w:ind w:left="1980" w:hanging="1980"/>
      </w:pPr>
    </w:p>
    <w:p w:rsidR="00EF115C" w:rsidRDefault="00EF115C" w:rsidP="00EF115C">
      <w:pPr>
        <w:tabs>
          <w:tab w:val="left" w:pos="1701"/>
          <w:tab w:val="left" w:pos="1985"/>
        </w:tabs>
        <w:ind w:left="1980" w:hanging="1980"/>
      </w:pPr>
      <w:r>
        <w:t xml:space="preserve">Materialien: </w:t>
      </w:r>
      <w:r>
        <w:tab/>
      </w:r>
      <w:r>
        <w:tab/>
      </w:r>
      <w:r w:rsidRPr="00B859F4">
        <w:t xml:space="preserve">Stromquelle, Kabel, Messgerät, </w:t>
      </w:r>
      <w:r>
        <w:t>Bleielektrode</w:t>
      </w:r>
      <w:r w:rsidRPr="00B859F4">
        <w:t xml:space="preserve">, </w:t>
      </w:r>
      <w:r>
        <w:t xml:space="preserve">Aluminiumblech, </w:t>
      </w:r>
      <w:r w:rsidRPr="00B859F4">
        <w:t>Bechergl</w:t>
      </w:r>
      <w:r>
        <w:t xml:space="preserve">as (200 </w:t>
      </w:r>
      <w:proofErr w:type="spellStart"/>
      <w:r>
        <w:t>mL</w:t>
      </w:r>
      <w:proofErr w:type="spellEnd"/>
      <w:r>
        <w:t xml:space="preserve">) </w:t>
      </w:r>
    </w:p>
    <w:p w:rsidR="00EF115C" w:rsidRDefault="00EF115C" w:rsidP="00EF115C">
      <w:pPr>
        <w:tabs>
          <w:tab w:val="left" w:pos="1701"/>
          <w:tab w:val="left" w:pos="1985"/>
        </w:tabs>
        <w:ind w:left="1980" w:hanging="1980"/>
      </w:pPr>
      <w:r>
        <w:t>Chemikalien:</w:t>
      </w:r>
      <w:r>
        <w:tab/>
      </w:r>
      <w:r>
        <w:tab/>
        <w:t>10 g Zinksulfat, 100 </w:t>
      </w:r>
      <w:proofErr w:type="spellStart"/>
      <w:r>
        <w:t>mL</w:t>
      </w:r>
      <w:proofErr w:type="spellEnd"/>
      <w:r>
        <w:t xml:space="preserve"> Schwefelsäure </w:t>
      </w:r>
    </w:p>
    <w:p w:rsidR="00EF115C" w:rsidRPr="00B031BE" w:rsidRDefault="00EF115C" w:rsidP="00EF115C">
      <w:pPr>
        <w:tabs>
          <w:tab w:val="left" w:pos="1701"/>
          <w:tab w:val="left" w:pos="1985"/>
        </w:tabs>
        <w:ind w:left="1980" w:hanging="1980"/>
      </w:pPr>
      <w:r>
        <w:t xml:space="preserve">Durchführung: </w:t>
      </w:r>
      <w:r>
        <w:tab/>
      </w:r>
      <w:r>
        <w:tab/>
        <w:t>Es wird eine Elektrolyseapparatur aufgebaut. Die Bleielektrode wird als Anode (Pluspol) und das Aluminiumblech als Kathode (Minuspol) gescha</w:t>
      </w:r>
      <w:r>
        <w:t>l</w:t>
      </w:r>
      <w:r>
        <w:t>tet. Als Elektrolyt wird 10 g Zinksulfat in 100 </w:t>
      </w:r>
      <w:proofErr w:type="spellStart"/>
      <w:r>
        <w:t>mL</w:t>
      </w:r>
      <w:proofErr w:type="spellEnd"/>
      <w:r>
        <w:t xml:space="preserve"> verdünnte Schwefelsäure gelöst und in ein </w:t>
      </w:r>
      <w:r w:rsidRPr="00E762C9">
        <w:t>200</w:t>
      </w:r>
      <w:r>
        <w:t> </w:t>
      </w:r>
      <w:proofErr w:type="spellStart"/>
      <w:r>
        <w:t>mL</w:t>
      </w:r>
      <w:proofErr w:type="spellEnd"/>
      <w:r>
        <w:t xml:space="preserve"> Becherglas gegeben. Es wird eine Spannung von circa 5 Volt für 5 Minuten angelegt. </w:t>
      </w:r>
    </w:p>
    <w:p w:rsidR="00EF115C" w:rsidRDefault="00EF115C" w:rsidP="00EF115C">
      <w:pPr>
        <w:tabs>
          <w:tab w:val="left" w:pos="1701"/>
          <w:tab w:val="left" w:pos="1985"/>
        </w:tabs>
        <w:ind w:left="1980" w:hanging="1980"/>
      </w:pPr>
      <w:r>
        <w:t>Beobachtung:</w:t>
      </w:r>
      <w:r>
        <w:tab/>
      </w:r>
      <w:r>
        <w:tab/>
        <w:t xml:space="preserve"> Die Aluminiumelektrode überzieht sich mit einer graumetallischen Schicht. Das Bleiblech überzieht sich mit einem braunen Niederschlag. Es entsteht ein Gas. </w:t>
      </w:r>
    </w:p>
    <w:p w:rsidR="00EF115C" w:rsidRDefault="00EF115C" w:rsidP="00EF115C">
      <w:pPr>
        <w:keepNext/>
        <w:tabs>
          <w:tab w:val="left" w:pos="1701"/>
          <w:tab w:val="left" w:pos="1985"/>
        </w:tabs>
        <w:ind w:left="1980" w:hanging="1980"/>
      </w:pPr>
    </w:p>
    <w:p w:rsidR="00EF115C" w:rsidRDefault="00EF115C" w:rsidP="00EF115C">
      <w:pPr>
        <w:keepNext/>
        <w:tabs>
          <w:tab w:val="left" w:pos="1701"/>
          <w:tab w:val="left" w:pos="1985"/>
        </w:tabs>
        <w:ind w:left="1980" w:hanging="1980"/>
        <w:jc w:val="center"/>
      </w:pPr>
      <w:r>
        <w:rPr>
          <w:noProof/>
          <w:lang w:eastAsia="de-DE"/>
        </w:rPr>
        <w:drawing>
          <wp:inline distT="0" distB="0" distL="0" distR="0">
            <wp:extent cx="2209800" cy="2476500"/>
            <wp:effectExtent l="19050" t="0" r="0" b="0"/>
            <wp:docPr id="6" name="Grafik 5" descr="IMG_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9.JPG"/>
                    <pic:cNvPicPr/>
                  </pic:nvPicPr>
                  <pic:blipFill>
                    <a:blip r:embed="rId14" cstate="print"/>
                    <a:srcRect/>
                    <a:stretch>
                      <a:fillRect/>
                    </a:stretch>
                  </pic:blipFill>
                  <pic:spPr>
                    <a:xfrm>
                      <a:off x="0" y="0"/>
                      <a:ext cx="2209800" cy="2476500"/>
                    </a:xfrm>
                    <a:prstGeom prst="rect">
                      <a:avLst/>
                    </a:prstGeom>
                  </pic:spPr>
                </pic:pic>
              </a:graphicData>
            </a:graphic>
          </wp:inline>
        </w:drawing>
      </w:r>
    </w:p>
    <w:p w:rsidR="00EF115C" w:rsidRDefault="00EF115C" w:rsidP="00EF115C">
      <w:pPr>
        <w:pStyle w:val="Beschriftung"/>
        <w:ind w:left="1701"/>
        <w:jc w:val="left"/>
      </w:pPr>
      <w:r>
        <w:t xml:space="preserve">Abb. </w:t>
      </w:r>
      <w:fldSimple w:instr=" SEQ Abb. \* ARABIC ">
        <w:r>
          <w:rPr>
            <w:noProof/>
          </w:rPr>
          <w:t>1</w:t>
        </w:r>
      </w:fldSimple>
      <w:r>
        <w:t xml:space="preserve"> - </w:t>
      </w:r>
      <w:r>
        <w:rPr>
          <w:noProof/>
        </w:rPr>
        <w:t xml:space="preserve"> Bleiblech mit Bleioxid und Aluminiumblech mit Zink.</w:t>
      </w:r>
    </w:p>
    <w:p w:rsidR="00EF115C" w:rsidRDefault="00EF115C" w:rsidP="00EF115C">
      <w:pPr>
        <w:tabs>
          <w:tab w:val="left" w:pos="1701"/>
          <w:tab w:val="left" w:pos="1985"/>
        </w:tabs>
        <w:ind w:left="2124" w:hanging="2124"/>
      </w:pPr>
      <w:r>
        <w:t>Deutung:</w:t>
      </w:r>
      <w:r>
        <w:tab/>
      </w:r>
      <w:r>
        <w:tab/>
      </w:r>
      <w:r>
        <w:tab/>
        <w:t xml:space="preserve">Der braune Niederschlag besteht aus Bleioxid. Bei dem Gas handelt es sich um Sauerstoff. Das Metall, welches sich auf dem </w:t>
      </w:r>
      <w:proofErr w:type="spellStart"/>
      <w:r>
        <w:t>Aluminniumblech</w:t>
      </w:r>
      <w:proofErr w:type="spellEnd"/>
      <w:r>
        <w:t xml:space="preserve"> abscheidet, ist Zink.</w:t>
      </w:r>
    </w:p>
    <w:p w:rsidR="00EF115C" w:rsidRPr="00675C07" w:rsidRDefault="00EF115C" w:rsidP="00EF115C">
      <w:pPr>
        <w:tabs>
          <w:tab w:val="left" w:pos="1701"/>
          <w:tab w:val="left" w:pos="1985"/>
        </w:tabs>
        <w:ind w:left="1980" w:hanging="1980"/>
        <w:rPr>
          <w:rFonts w:eastAsiaTheme="minorEastAsia"/>
        </w:rPr>
      </w:pPr>
      <m:oMathPara>
        <m:oMath>
          <m:r>
            <w:rPr>
              <w:rFonts w:ascii="Cambria Math" w:hAnsi="Cambria Math"/>
            </w:rPr>
            <m:t xml:space="preserve">Kathode: </m:t>
          </m:r>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d>
                <m:dPr>
                  <m:ctrlPr>
                    <w:rPr>
                      <w:rFonts w:ascii="Cambria Math" w:eastAsiaTheme="minorEastAsia" w:hAnsi="Cambria Math"/>
                      <w:i/>
                    </w:rPr>
                  </m:ctrlPr>
                </m:dPr>
                <m:e>
                  <m:r>
                    <w:rPr>
                      <w:rFonts w:ascii="Cambria Math" w:eastAsiaTheme="minorEastAsia" w:hAnsi="Cambria Math"/>
                    </w:rPr>
                    <m:t>aq</m:t>
                  </m:r>
                </m:e>
              </m:d>
            </m:sub>
            <m:sup>
              <m:r>
                <w:rPr>
                  <w:rFonts w:ascii="Cambria Math" w:eastAsiaTheme="minorEastAsia" w:hAnsi="Cambria Math"/>
                </w:rPr>
                <m:t>+</m:t>
              </m:r>
            </m:sup>
          </m:sSubSup>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+ 2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m:oMathPara>
    </w:p>
    <w:p w:rsidR="00EF115C" w:rsidRPr="005B281F" w:rsidRDefault="00EF115C" w:rsidP="00EF115C">
      <w:pPr>
        <w:tabs>
          <w:tab w:val="left" w:pos="1701"/>
          <w:tab w:val="left" w:pos="1985"/>
        </w:tabs>
        <w:ind w:left="1980" w:firstLine="1281"/>
        <w:rPr>
          <w:rFonts w:eastAsiaTheme="minorEastAsia"/>
        </w:rPr>
      </w:pPr>
      <m:oMath>
        <m:r>
          <w:rPr>
            <w:rFonts w:ascii="Cambria Math" w:hAnsi="Cambria Math"/>
          </w:rPr>
          <m:t>Anode: Z</m:t>
        </m:r>
        <m:sSubSup>
          <m:sSubSupPr>
            <m:ctrlPr>
              <w:rPr>
                <w:rFonts w:ascii="Cambria Math" w:hAnsi="Cambria Math"/>
                <w:i/>
              </w:rPr>
            </m:ctrlPr>
          </m:sSubSupPr>
          <m:e>
            <m:r>
              <w:rPr>
                <w:rFonts w:ascii="Cambria Math" w:hAnsi="Cambria Math"/>
              </w:rPr>
              <m:t>n</m:t>
            </m:r>
          </m:e>
          <m:sub>
            <m:r>
              <w:rPr>
                <w:rFonts w:ascii="Cambria Math" w:hAnsi="Cambria Math"/>
              </w:rPr>
              <m:t>(aq)</m:t>
            </m:r>
          </m:sub>
          <m:sup>
            <m:r>
              <w:rPr>
                <w:rFonts w:ascii="Cambria Math" w:hAnsi="Cambria Math"/>
              </w:rPr>
              <m:t>2+</m:t>
            </m:r>
          </m:sup>
        </m:sSubSup>
        <m:r>
          <w:rPr>
            <w:rFonts w:ascii="Cambria Math" w:hAnsi="Cambria Math"/>
          </w:rPr>
          <m:t>+</m:t>
        </m:r>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m:t>
            </m:r>
          </m:sub>
        </m:sSub>
      </m:oMath>
      <w:r>
        <w:rPr>
          <w:rFonts w:eastAsiaTheme="minorEastAsia"/>
        </w:rPr>
        <w:t xml:space="preserve"> </w:t>
      </w:r>
    </w:p>
    <w:p w:rsidR="00EF115C" w:rsidRDefault="00EF115C" w:rsidP="00EF115C">
      <w:pPr>
        <w:ind w:left="2127" w:hanging="2127"/>
      </w:pPr>
      <w:r>
        <w:t>Entsorgung:</w:t>
      </w:r>
      <w:r>
        <w:tab/>
        <w:t>Das Bleiblech sollte am besten im Originalbehälter aufbewahrt werden.  Die Lösung wird neutralisiert und in den Behälter für Schwermetallabfä</w:t>
      </w:r>
      <w:r>
        <w:t>l</w:t>
      </w:r>
      <w:r>
        <w:t xml:space="preserve">le gegeben, falls noch Zinkionen gelöst sind. </w:t>
      </w:r>
    </w:p>
    <w:p w:rsidR="00EF115C" w:rsidRPr="005B60E3" w:rsidRDefault="00EF115C" w:rsidP="00EF115C">
      <w:pPr>
        <w:ind w:left="2127" w:hanging="2127"/>
        <w:rPr>
          <w:rFonts w:asciiTheme="majorHAnsi" w:eastAsiaTheme="majorEastAsia" w:hAnsiTheme="majorHAnsi" w:cstheme="majorBidi"/>
          <w:b/>
          <w:bCs/>
          <w:sz w:val="28"/>
          <w:szCs w:val="28"/>
        </w:rPr>
      </w:pPr>
      <w:r>
        <w:t>Literatur:</w:t>
      </w:r>
      <w:r>
        <w:tab/>
      </w:r>
      <w:r>
        <w:rPr>
          <w:color w:val="auto"/>
        </w:rPr>
        <w:t xml:space="preserve">Glöckner W. et al. (1994): </w:t>
      </w:r>
      <w:r w:rsidRPr="00B73EAA">
        <w:rPr>
          <w:i/>
          <w:color w:val="auto"/>
        </w:rPr>
        <w:t>Handbuch der experimentellen Chemie</w:t>
      </w:r>
      <w:r>
        <w:rPr>
          <w:color w:val="auto"/>
        </w:rPr>
        <w:t xml:space="preserve">. </w:t>
      </w:r>
      <w:proofErr w:type="spellStart"/>
      <w:r>
        <w:rPr>
          <w:color w:val="auto"/>
        </w:rPr>
        <w:t>Aulis</w:t>
      </w:r>
      <w:proofErr w:type="spellEnd"/>
      <w:r>
        <w:rPr>
          <w:color w:val="auto"/>
        </w:rPr>
        <w:t xml:space="preserve"> Verlag </w:t>
      </w:r>
      <w:proofErr w:type="spellStart"/>
      <w:r>
        <w:rPr>
          <w:color w:val="auto"/>
        </w:rPr>
        <w:t>Deubner</w:t>
      </w:r>
      <w:proofErr w:type="spellEnd"/>
      <w:r>
        <w:rPr>
          <w:color w:val="auto"/>
        </w:rPr>
        <w:t xml:space="preserve"> &amp; Co KG: Köln: 313. </w:t>
      </w:r>
    </w:p>
    <w:p w:rsidR="00EF115C" w:rsidRDefault="00EF115C" w:rsidP="00EF115C">
      <w:pPr>
        <w:tabs>
          <w:tab w:val="left" w:pos="1701"/>
          <w:tab w:val="left" w:pos="1985"/>
        </w:tabs>
        <w:ind w:left="1980" w:hanging="1980"/>
      </w:pPr>
    </w:p>
    <w:p w:rsidR="002D0FD0" w:rsidRDefault="002D0FD0"/>
    <w:sectPr w:rsidR="002D0FD0" w:rsidSect="002D0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15C"/>
    <w:rsid w:val="00022321"/>
    <w:rsid w:val="0007412D"/>
    <w:rsid w:val="002D0FD0"/>
    <w:rsid w:val="004965DA"/>
    <w:rsid w:val="004A0535"/>
    <w:rsid w:val="0087773D"/>
    <w:rsid w:val="009D3E5B"/>
    <w:rsid w:val="00A90B6C"/>
    <w:rsid w:val="00B63E5E"/>
    <w:rsid w:val="00EF11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15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F115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F115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F115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F11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F11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F11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F11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F11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F11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115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F115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F115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F115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F115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F115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F115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F115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F115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F115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F11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15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1438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2015-08-26T13:11:00Z</dcterms:created>
  <dcterms:modified xsi:type="dcterms:W3CDTF">2015-08-26T13:12:00Z</dcterms:modified>
</cp:coreProperties>
</file>