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05" w:rsidRPr="00B44E31" w:rsidRDefault="00717A05" w:rsidP="00717A05">
      <w:pPr>
        <w:pStyle w:val="berschrift2"/>
        <w:numPr>
          <w:ilvl w:val="0"/>
          <w:numId w:val="0"/>
        </w:numPr>
        <w:ind w:left="576" w:hanging="576"/>
      </w:pPr>
      <w:bookmarkStart w:id="0" w:name="_Toc427837115"/>
      <w:r>
        <w:t>Verzinken eines Eisennagels</w:t>
      </w:r>
      <w:bookmarkEnd w:id="0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717A05" w:rsidRPr="009C5E28" w:rsidTr="00C27408">
        <w:tc>
          <w:tcPr>
            <w:tcW w:w="9322" w:type="dxa"/>
            <w:gridSpan w:val="9"/>
            <w:shd w:val="clear" w:color="auto" w:fill="4F81BD"/>
            <w:vAlign w:val="center"/>
          </w:tcPr>
          <w:p w:rsidR="00717A05" w:rsidRPr="00F31EBF" w:rsidRDefault="00717A05" w:rsidP="00C27408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717A05" w:rsidRPr="009C5E28" w:rsidTr="00C27408">
        <w:trPr>
          <w:trHeight w:val="458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717A05" w:rsidRPr="00AD0630" w:rsidRDefault="00717A05" w:rsidP="00C27408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Zinksulfat-</w:t>
            </w:r>
            <w:proofErr w:type="spellStart"/>
            <w:r>
              <w:rPr>
                <w:bCs/>
                <w:sz w:val="20"/>
                <w:szCs w:val="20"/>
              </w:rPr>
              <w:t>Heptahydrat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717A05" w:rsidRPr="00AD0630" w:rsidRDefault="00717A05" w:rsidP="00C2740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302-318-410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17A05" w:rsidRPr="00AD0630" w:rsidRDefault="00717A05" w:rsidP="00C2740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280-273-305+351+338</w:t>
            </w:r>
          </w:p>
        </w:tc>
      </w:tr>
      <w:tr w:rsidR="00717A05" w:rsidRPr="009C5E28" w:rsidTr="00C27408">
        <w:trPr>
          <w:trHeight w:val="437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717A05" w:rsidRDefault="00717A05" w:rsidP="00C27408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Essigsäure (w = 5%)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717A05" w:rsidRDefault="00717A05" w:rsidP="00C2740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315-319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17A05" w:rsidRDefault="00717A05" w:rsidP="00C2740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305+351+338</w:t>
            </w:r>
          </w:p>
        </w:tc>
      </w:tr>
      <w:tr w:rsidR="00717A05" w:rsidRPr="009C5E28" w:rsidTr="00C27408">
        <w:trPr>
          <w:trHeight w:val="437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717A05" w:rsidRDefault="00717A05" w:rsidP="00C27408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Ethanol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717A05" w:rsidRDefault="00717A05" w:rsidP="00C2740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225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17A05" w:rsidRDefault="00717A05" w:rsidP="00C2740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210</w:t>
            </w:r>
          </w:p>
        </w:tc>
      </w:tr>
      <w:tr w:rsidR="00717A05" w:rsidRPr="009C5E28" w:rsidTr="00C27408">
        <w:tc>
          <w:tcPr>
            <w:tcW w:w="1009" w:type="dxa"/>
            <w:shd w:val="clear" w:color="auto" w:fill="auto"/>
            <w:vAlign w:val="center"/>
          </w:tcPr>
          <w:p w:rsidR="00717A05" w:rsidRPr="009C5E28" w:rsidRDefault="00717A05" w:rsidP="00C2740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54" name="Grafik 45" descr="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17A05" w:rsidRPr="009C5E28" w:rsidRDefault="00717A05" w:rsidP="00C27408">
            <w:pPr>
              <w:spacing w:after="0"/>
              <w:jc w:val="center"/>
            </w:pPr>
            <w:r w:rsidRPr="00D421E4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5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17A05" w:rsidRPr="009C5E28" w:rsidRDefault="00717A05" w:rsidP="00C2740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71" name="Grafik 70" descr="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nnba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17A05" w:rsidRPr="009C5E28" w:rsidRDefault="00717A05" w:rsidP="00C2740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7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17A05" w:rsidRPr="009C5E28" w:rsidRDefault="00717A05" w:rsidP="00C2740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8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7A05" w:rsidRPr="009C5E28" w:rsidRDefault="00717A05" w:rsidP="00C2740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1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17A05" w:rsidRPr="009C5E28" w:rsidRDefault="00717A05" w:rsidP="00C2740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2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17A05" w:rsidRPr="009C5E28" w:rsidRDefault="00717A05" w:rsidP="00C2740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67" name="Grafik 64" descr="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A05" w:rsidRPr="009C5E28" w:rsidRDefault="00717A05" w:rsidP="00C2740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930" cy="582930"/>
                  <wp:effectExtent l="19050" t="0" r="7620" b="0"/>
                  <wp:docPr id="69" name="Grafik 65" descr="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7A05" w:rsidRDefault="00717A05" w:rsidP="00717A05">
      <w:pPr>
        <w:tabs>
          <w:tab w:val="left" w:pos="1701"/>
          <w:tab w:val="left" w:pos="1985"/>
        </w:tabs>
      </w:pPr>
    </w:p>
    <w:p w:rsidR="00717A05" w:rsidRDefault="00717A05" w:rsidP="00717A05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Pr="00B859F4">
        <w:t xml:space="preserve">Stromquelle, Kabel, Messgerät, </w:t>
      </w:r>
      <w:r>
        <w:t>Zinkelektrode</w:t>
      </w:r>
      <w:r w:rsidRPr="00B859F4">
        <w:t xml:space="preserve">, </w:t>
      </w:r>
      <w:r>
        <w:t xml:space="preserve">Eisennagel, </w:t>
      </w:r>
      <w:r w:rsidRPr="00B859F4">
        <w:t>Bechergl</w:t>
      </w:r>
      <w:r>
        <w:t>as</w:t>
      </w:r>
      <w:r w:rsidRPr="00B859F4">
        <w:t xml:space="preserve"> (</w:t>
      </w:r>
      <w:r>
        <w:t xml:space="preserve">200 </w:t>
      </w:r>
      <w:proofErr w:type="spellStart"/>
      <w:r>
        <w:t>mL</w:t>
      </w:r>
      <w:proofErr w:type="spellEnd"/>
      <w:r w:rsidRPr="00B859F4">
        <w:t>)</w:t>
      </w:r>
    </w:p>
    <w:p w:rsidR="00717A05" w:rsidRDefault="00717A05" w:rsidP="00717A05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10 g Zinksulfat, 5 </w:t>
      </w:r>
      <w:proofErr w:type="spellStart"/>
      <w:r>
        <w:t>mL</w:t>
      </w:r>
      <w:proofErr w:type="spellEnd"/>
      <w:r>
        <w:t xml:space="preserve"> Essigsäuresäure (w=10 %)</w:t>
      </w:r>
    </w:p>
    <w:p w:rsidR="00717A05" w:rsidRPr="00B031BE" w:rsidRDefault="00717A05" w:rsidP="00717A05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Es werden 10 g Zinksulfat in 50 </w:t>
      </w:r>
      <w:proofErr w:type="spellStart"/>
      <w:r>
        <w:t>mL</w:t>
      </w:r>
      <w:proofErr w:type="spellEnd"/>
      <w:r>
        <w:t xml:space="preserve"> destilliertem Wasser gelöst und 5 </w:t>
      </w:r>
      <w:proofErr w:type="spellStart"/>
      <w:r>
        <w:t>mL</w:t>
      </w:r>
      <w:proofErr w:type="spellEnd"/>
      <w:r>
        <w:t xml:space="preserve"> Essigsäure hinzugegeben. Der Eisennagel wird gegebenenfalls mit Ethanol entfettet. Der Eisennagel wird mit dem Minuspol der Gleichspannungsque</w:t>
      </w:r>
      <w:r>
        <w:t>l</w:t>
      </w:r>
      <w:r>
        <w:t xml:space="preserve">le verbunden, die Graphitelektrode mit dem Pluspol. Beide Elektroden werden in die Elektrolytlösung getaucht. Es wird eine Spannung von circa 5 Volt angelegt.  </w:t>
      </w:r>
    </w:p>
    <w:p w:rsidR="00717A05" w:rsidRDefault="00717A05" w:rsidP="00717A05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An der Graphitelektrode tritt leichte Gasentwicklung ein. Der Eisennagel überzieht sich mit einem im Vergleich zum Eisen dunkleren, metallischen Überzug.  </w:t>
      </w:r>
    </w:p>
    <w:p w:rsidR="00717A05" w:rsidRDefault="00717A05" w:rsidP="00717A05">
      <w:pPr>
        <w:keepNext/>
        <w:tabs>
          <w:tab w:val="left" w:pos="1701"/>
          <w:tab w:val="left" w:pos="1985"/>
        </w:tabs>
        <w:ind w:left="1980" w:hanging="1980"/>
      </w:pPr>
    </w:p>
    <w:p w:rsidR="00717A05" w:rsidRDefault="00717A05" w:rsidP="00717A05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1647825" cy="3248025"/>
            <wp:effectExtent l="19050" t="0" r="9525" b="0"/>
            <wp:docPr id="85" name="Grafik 84" descr="IMG_8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760.JPG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A05" w:rsidRDefault="00717A05" w:rsidP="00717A05">
      <w:pPr>
        <w:pStyle w:val="Beschriftung"/>
        <w:ind w:firstLine="2127"/>
        <w:jc w:val="left"/>
      </w:pPr>
      <w:r>
        <w:t xml:space="preserve">Abb. 4 - </w:t>
      </w:r>
      <w:r>
        <w:rPr>
          <w:noProof/>
        </w:rPr>
        <w:t xml:space="preserve"> Eisennagel und verzinkter Eisennagel.</w:t>
      </w:r>
    </w:p>
    <w:p w:rsidR="00717A05" w:rsidRDefault="00717A05" w:rsidP="00717A05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>Bei der Galvanisierung entsteht auf dem Eisennagel eine Schutzschicht aus Zink. An der Anode wird elementares Zink oxidiert</w:t>
      </w:r>
      <w:proofErr w:type="gramStart"/>
      <w:r>
        <w:t>..</w:t>
      </w:r>
      <w:proofErr w:type="gramEnd"/>
    </w:p>
    <w:p w:rsidR="00717A05" w:rsidRDefault="00717A05" w:rsidP="00717A05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Anode: </m:t>
          </m:r>
          <m:r>
            <w:rPr>
              <w:rFonts w:ascii="Cambria Math" w:eastAsiaTheme="minorEastAsia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Zn</m:t>
              </m:r>
            </m:e>
            <m: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</m:d>
            </m:sub>
          </m:sSub>
          <m:r>
            <w:rPr>
              <w:rFonts w:ascii="Cambria Math" w:eastAsiaTheme="minorEastAsia" w:hAnsi="Cambria Math"/>
            </w:rPr>
            <m:t>→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Zn</m:t>
              </m:r>
            </m:e>
            <m:sub>
              <m:r>
                <w:rPr>
                  <w:rFonts w:ascii="Cambria Math" w:hAnsi="Cambria Math"/>
                </w:rPr>
                <m:t>(aq)</m:t>
              </m:r>
            </m:sub>
            <m:sup>
              <m:r>
                <w:rPr>
                  <w:rFonts w:ascii="Cambria Math" w:hAnsi="Cambria Math"/>
                </w:rPr>
                <m:t>2+</m:t>
              </m:r>
            </m:sup>
          </m:sSubSup>
          <m:r>
            <w:rPr>
              <w:rFonts w:ascii="Cambria Math" w:hAnsi="Cambria Math"/>
            </w:rPr>
            <m:t xml:space="preserve">+2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</m:sup>
          </m:sSup>
        </m:oMath>
      </m:oMathPara>
    </w:p>
    <w:p w:rsidR="00717A05" w:rsidRPr="00675C07" w:rsidRDefault="00717A05" w:rsidP="00717A05">
      <w:pPr>
        <w:tabs>
          <w:tab w:val="left" w:pos="1701"/>
          <w:tab w:val="left" w:pos="1985"/>
        </w:tabs>
        <w:ind w:left="1980" w:firstLine="147"/>
        <w:rPr>
          <w:rFonts w:eastAsiaTheme="minorEastAsia"/>
        </w:rPr>
      </w:pPr>
      <w:r>
        <w:rPr>
          <w:rFonts w:eastAsiaTheme="minorEastAsia"/>
        </w:rPr>
        <w:t>An der Kathode wird Zink reduziert:</w:t>
      </w:r>
    </w:p>
    <w:p w:rsidR="00717A05" w:rsidRPr="005B281F" w:rsidRDefault="00717A05" w:rsidP="00717A05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Kathode: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Zn</m:t>
              </m:r>
            </m:e>
            <m:sub>
              <m:r>
                <w:rPr>
                  <w:rFonts w:ascii="Cambria Math" w:hAnsi="Cambria Math"/>
                </w:rPr>
                <m:t>(aq)</m:t>
              </m:r>
            </m:sub>
            <m:sup>
              <m:r>
                <w:rPr>
                  <w:rFonts w:ascii="Cambria Math" w:hAnsi="Cambria Math"/>
                </w:rPr>
                <m:t>2+</m:t>
              </m:r>
            </m:sup>
          </m:sSubSup>
          <m:r>
            <w:rPr>
              <w:rFonts w:ascii="Cambria Math" w:hAnsi="Cambria Math"/>
            </w:rPr>
            <m:t xml:space="preserve">+2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</m:sup>
          </m:sSup>
          <m:r>
            <w:rPr>
              <w:rFonts w:ascii="Cambria Math" w:eastAsiaTheme="minorEastAsia" w:hAnsi="Cambria Math"/>
            </w:rPr>
            <m:t>→</m:t>
          </m:r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Zn</m:t>
              </m:r>
            </m:e>
            <m:sub>
              <m:r>
                <w:rPr>
                  <w:rFonts w:ascii="Cambria Math" w:hAnsi="Cambria Math"/>
                </w:rPr>
                <m:t>(s)</m:t>
              </m:r>
            </m:sub>
          </m:sSub>
        </m:oMath>
      </m:oMathPara>
    </w:p>
    <w:p w:rsidR="00717A05" w:rsidRDefault="00717A05" w:rsidP="00717A05">
      <w:pPr>
        <w:ind w:left="2127" w:hanging="2127"/>
      </w:pPr>
      <w:r>
        <w:t>Entsorgung:</w:t>
      </w:r>
      <w:r>
        <w:tab/>
        <w:t>Die Elektrolytlösung wird neutralisiert und in den Schwermetallbehälter gegeben.</w:t>
      </w:r>
    </w:p>
    <w:p w:rsidR="00717A05" w:rsidRDefault="00717A05" w:rsidP="00717A05">
      <w:pPr>
        <w:ind w:left="2127" w:hanging="2127"/>
        <w:rPr>
          <w:color w:val="auto"/>
        </w:rPr>
      </w:pPr>
      <w:r>
        <w:t>Literatur:</w:t>
      </w:r>
      <w:r>
        <w:tab/>
      </w:r>
      <w:r>
        <w:rPr>
          <w:color w:val="auto"/>
        </w:rPr>
        <w:t xml:space="preserve">Blume R. (17.12.2014): </w:t>
      </w:r>
      <w:r w:rsidRPr="004E2738">
        <w:rPr>
          <w:i/>
          <w:color w:val="auto"/>
        </w:rPr>
        <w:t xml:space="preserve">Versuch: </w:t>
      </w:r>
      <w:r>
        <w:rPr>
          <w:i/>
          <w:color w:val="auto"/>
        </w:rPr>
        <w:t>Elektrolytische Abscheidung von Zink auf Eisen</w:t>
      </w:r>
      <w:r>
        <w:rPr>
          <w:color w:val="auto"/>
        </w:rPr>
        <w:t xml:space="preserve">. In: </w:t>
      </w:r>
      <w:r w:rsidRPr="002622C7">
        <w:rPr>
          <w:color w:val="auto"/>
        </w:rPr>
        <w:t>http://www.chemieunterricht.de/dc2/auto/a-v-075.htm</w:t>
      </w:r>
      <w:r>
        <w:rPr>
          <w:color w:val="auto"/>
        </w:rPr>
        <w:t xml:space="preserve"> [Z</w:t>
      </w:r>
      <w:r>
        <w:rPr>
          <w:color w:val="auto"/>
        </w:rPr>
        <w:t>u</w:t>
      </w:r>
      <w:r>
        <w:rPr>
          <w:color w:val="auto"/>
        </w:rPr>
        <w:t>letzt abgerufen am 13.08.2015 19:10].</w:t>
      </w:r>
    </w:p>
    <w:p w:rsidR="002D0FD0" w:rsidRDefault="002D0FD0"/>
    <w:sectPr w:rsidR="002D0FD0" w:rsidSect="002D0F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7A05"/>
    <w:rsid w:val="00022321"/>
    <w:rsid w:val="0007412D"/>
    <w:rsid w:val="002D0FD0"/>
    <w:rsid w:val="004965DA"/>
    <w:rsid w:val="004A0535"/>
    <w:rsid w:val="00717A05"/>
    <w:rsid w:val="0087773D"/>
    <w:rsid w:val="009D3E5B"/>
    <w:rsid w:val="00B6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7A05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7A05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7A05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17A05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17A0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17A0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17A0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17A0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17A0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17A0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7A05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7A05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17A05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17A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17A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17A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17A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17A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17A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717A05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7A05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Hannah</cp:lastModifiedBy>
  <cp:revision>1</cp:revision>
  <dcterms:created xsi:type="dcterms:W3CDTF">2015-08-26T13:20:00Z</dcterms:created>
  <dcterms:modified xsi:type="dcterms:W3CDTF">2015-08-26T13:21:00Z</dcterms:modified>
</cp:coreProperties>
</file>