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13" w:rsidRDefault="007A7213" w:rsidP="007A7213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.85pt;margin-top:26.25pt;width:451.9pt;height:80.35pt;z-index:251664384;mso-width-relative:margin;mso-height-relative:margin" strokecolor="#1f497d [3215]">
            <v:stroke dashstyle="1 1"/>
            <v:textbox>
              <w:txbxContent>
                <w:p w:rsidR="007A7213" w:rsidRPr="00736859" w:rsidRDefault="007A7213" w:rsidP="007A7213">
                  <w:pPr>
                    <w:tabs>
                      <w:tab w:val="left" w:pos="1701"/>
                      <w:tab w:val="left" w:pos="1985"/>
                    </w:tabs>
                    <w:spacing w:line="276" w:lineRule="auto"/>
                    <w:rPr>
                      <w:b/>
                    </w:rPr>
                  </w:pPr>
                  <w:r w:rsidRPr="00001D62">
                    <w:rPr>
                      <w:color w:val="auto"/>
                    </w:rPr>
                    <w:t xml:space="preserve">Du hast eben den Versuch der elektrolytischen Kupferraffination durchgeführt und damit ein wichtiges technisches Verfahren kennengelernt – die Elektrolyse. </w:t>
                  </w:r>
                  <w:proofErr w:type="spellStart"/>
                  <w:r w:rsidRPr="00001D62">
                    <w:rPr>
                      <w:color w:val="auto"/>
                    </w:rPr>
                    <w:t>Reinkupfer</w:t>
                  </w:r>
                  <w:proofErr w:type="spellEnd"/>
                  <w:r w:rsidRPr="00001D62">
                    <w:rPr>
                      <w:color w:val="auto"/>
                    </w:rPr>
                    <w:t xml:space="preserve"> wird zum Be</w:t>
                  </w:r>
                  <w:r w:rsidRPr="00001D62">
                    <w:rPr>
                      <w:color w:val="auto"/>
                    </w:rPr>
                    <w:t>i</w:t>
                  </w:r>
                  <w:r w:rsidRPr="00001D62">
                    <w:rPr>
                      <w:color w:val="auto"/>
                    </w:rPr>
                    <w:t xml:space="preserve">spiel in der Leitertechnik verwendet. Ohne </w:t>
                  </w:r>
                  <w:proofErr w:type="spellStart"/>
                  <w:r w:rsidRPr="00001D62">
                    <w:rPr>
                      <w:color w:val="auto"/>
                    </w:rPr>
                    <w:t>Reinkupfer</w:t>
                  </w:r>
                  <w:proofErr w:type="spellEnd"/>
                  <w:r w:rsidRPr="00001D62">
                    <w:rPr>
                      <w:color w:val="auto"/>
                    </w:rPr>
                    <w:t xml:space="preserve"> würde dein Handy beispielsweise nicht funktionieren. Mit diesem Arbeitsblatt kannst du dein Verständnis des elektrolytischen Prozesses überprüfen. </w:t>
                  </w:r>
                </w:p>
                <w:p w:rsidR="007A7213" w:rsidRPr="00736859" w:rsidRDefault="007A7213" w:rsidP="007A7213"/>
              </w:txbxContent>
            </v:textbox>
          </v:shape>
        </w:pict>
      </w:r>
      <w:r>
        <w:rPr>
          <w:b/>
          <w:sz w:val="28"/>
        </w:rPr>
        <w:t>Elektrolytische Kupferraffination</w:t>
      </w:r>
    </w:p>
    <w:p w:rsidR="007A7213" w:rsidRDefault="007A7213" w:rsidP="007A7213">
      <w:pPr>
        <w:tabs>
          <w:tab w:val="left" w:pos="1701"/>
          <w:tab w:val="left" w:pos="1985"/>
        </w:tabs>
        <w:rPr>
          <w:b/>
          <w:sz w:val="28"/>
        </w:rPr>
      </w:pPr>
    </w:p>
    <w:p w:rsidR="007A7213" w:rsidRDefault="007A7213" w:rsidP="007A7213">
      <w:pPr>
        <w:tabs>
          <w:tab w:val="left" w:pos="1701"/>
          <w:tab w:val="left" w:pos="1985"/>
        </w:tabs>
        <w:spacing w:line="276" w:lineRule="auto"/>
        <w:rPr>
          <w:b/>
          <w:sz w:val="28"/>
        </w:rPr>
      </w:pPr>
    </w:p>
    <w:p w:rsidR="007A7213" w:rsidRPr="009B67E0" w:rsidRDefault="007A7213" w:rsidP="007A7213">
      <w:pPr>
        <w:tabs>
          <w:tab w:val="left" w:pos="1701"/>
          <w:tab w:val="left" w:pos="1985"/>
        </w:tabs>
        <w:spacing w:line="276" w:lineRule="auto"/>
        <w:rPr>
          <w:b/>
          <w:sz w:val="24"/>
        </w:rPr>
      </w:pPr>
    </w:p>
    <w:p w:rsidR="007A7213" w:rsidRDefault="007A7213" w:rsidP="007A7213">
      <w:pPr>
        <w:rPr>
          <w:color w:val="auto"/>
        </w:rPr>
      </w:pPr>
      <w:r w:rsidRPr="009B67E0">
        <w:rPr>
          <w:color w:val="auto"/>
          <w:u w:val="single"/>
        </w:rPr>
        <w:t>Aufgabe 1:</w:t>
      </w:r>
      <w:r>
        <w:rPr>
          <w:color w:val="auto"/>
        </w:rPr>
        <w:t xml:space="preserve"> Definiere die Begriffe Anode und Kathode sowie Minuspol und Pluspol:</w:t>
      </w:r>
    </w:p>
    <w:p w:rsidR="007A7213" w:rsidRDefault="007A7213" w:rsidP="007A7213">
      <w:pPr>
        <w:spacing w:line="276" w:lineRule="auto"/>
        <w:rPr>
          <w:color w:val="auto"/>
        </w:rPr>
      </w:pPr>
      <w:r>
        <w:rPr>
          <w:color w:val="auto"/>
        </w:rPr>
        <w:t>Anode:</w:t>
      </w:r>
    </w:p>
    <w:p w:rsidR="007A7213" w:rsidRDefault="007A7213" w:rsidP="007A7213">
      <w:pPr>
        <w:spacing w:line="276" w:lineRule="auto"/>
        <w:rPr>
          <w:color w:val="auto"/>
        </w:rPr>
      </w:pPr>
      <w:r>
        <w:rPr>
          <w:color w:val="auto"/>
        </w:rPr>
        <w:t>Kathode:</w:t>
      </w:r>
    </w:p>
    <w:p w:rsidR="007A7213" w:rsidRDefault="007A7213" w:rsidP="007A7213">
      <w:pPr>
        <w:spacing w:line="276" w:lineRule="auto"/>
        <w:rPr>
          <w:color w:val="auto"/>
        </w:rPr>
      </w:pPr>
      <w:r>
        <w:rPr>
          <w:color w:val="auto"/>
        </w:rPr>
        <w:t>Minuspol:</w:t>
      </w:r>
    </w:p>
    <w:p w:rsidR="007A7213" w:rsidRDefault="007A7213" w:rsidP="007A7213">
      <w:pPr>
        <w:spacing w:line="276" w:lineRule="auto"/>
        <w:rPr>
          <w:color w:val="auto"/>
        </w:rPr>
      </w:pPr>
      <w:r>
        <w:rPr>
          <w:color w:val="auto"/>
        </w:rPr>
        <w:t>Pluspol:</w:t>
      </w:r>
    </w:p>
    <w:p w:rsidR="007A7213" w:rsidRDefault="007A7213" w:rsidP="007A7213">
      <w:pPr>
        <w:spacing w:line="276" w:lineRule="auto"/>
        <w:ind w:left="1276" w:hanging="1276"/>
        <w:rPr>
          <w:color w:val="auto"/>
        </w:rPr>
      </w:pPr>
      <w:r>
        <w:rPr>
          <w:noProof/>
          <w:color w:val="auto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869315</wp:posOffset>
            </wp:positionV>
            <wp:extent cx="3326765" cy="2486025"/>
            <wp:effectExtent l="19050" t="0" r="6985" b="0"/>
            <wp:wrapTight wrapText="bothSides">
              <wp:wrapPolygon edited="0">
                <wp:start x="9895" y="0"/>
                <wp:lineTo x="5071" y="1159"/>
                <wp:lineTo x="4082" y="1490"/>
                <wp:lineTo x="4082" y="5297"/>
                <wp:lineTo x="124" y="6124"/>
                <wp:lineTo x="-124" y="6290"/>
                <wp:lineTo x="-124" y="19862"/>
                <wp:lineTo x="495" y="21517"/>
                <wp:lineTo x="618" y="21517"/>
                <wp:lineTo x="21027" y="21517"/>
                <wp:lineTo x="21151" y="21517"/>
                <wp:lineTo x="21398" y="21186"/>
                <wp:lineTo x="21522" y="21186"/>
                <wp:lineTo x="21645" y="19366"/>
                <wp:lineTo x="21645" y="6290"/>
                <wp:lineTo x="21151" y="5959"/>
                <wp:lineTo x="17935" y="5297"/>
                <wp:lineTo x="18182" y="1655"/>
                <wp:lineTo x="17564" y="1324"/>
                <wp:lineTo x="10637" y="0"/>
                <wp:lineTo x="9895" y="0"/>
              </wp:wrapPolygon>
            </wp:wrapTight>
            <wp:docPr id="60" name="Grafik 0" descr="korrigiertT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rigiertTite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7E0">
        <w:rPr>
          <w:color w:val="auto"/>
          <w:u w:val="single"/>
        </w:rPr>
        <w:t>Aufgabe 2:</w:t>
      </w:r>
      <w:r>
        <w:rPr>
          <w:color w:val="auto"/>
        </w:rPr>
        <w:t xml:space="preserve"> </w:t>
      </w:r>
      <w:r>
        <w:rPr>
          <w:color w:val="auto"/>
        </w:rPr>
        <w:tab/>
        <w:t>Ordne nun die eben definierten Begriffe in das unten abgebildete Schema ein. Tr</w:t>
      </w:r>
      <w:r>
        <w:rPr>
          <w:color w:val="auto"/>
        </w:rPr>
        <w:t>a</w:t>
      </w:r>
      <w:r>
        <w:rPr>
          <w:color w:val="auto"/>
        </w:rPr>
        <w:t xml:space="preserve">ge außerdem den Elektronenfluss mit Pfeilen an die Leiterdrähte ein. Formuliere anschließend die Reaktionsgleichungen für die Prozesse die an Anode und Kathode ablaufen. </w:t>
      </w: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Pr="00BF0976" w:rsidRDefault="007A7213" w:rsidP="007A7213">
      <w:pPr>
        <w:pStyle w:val="Beschriftung"/>
        <w:ind w:left="1985"/>
        <w:rPr>
          <w:lang w:val="en-US"/>
        </w:rPr>
      </w:pPr>
      <w:proofErr w:type="spellStart"/>
      <w:r w:rsidRPr="00BF0976">
        <w:rPr>
          <w:lang w:val="en-US"/>
        </w:rPr>
        <w:t>Abbildung</w:t>
      </w:r>
      <w:proofErr w:type="spellEnd"/>
      <w:r w:rsidRPr="00BF0976">
        <w:rPr>
          <w:lang w:val="en-US"/>
        </w:rPr>
        <w:t xml:space="preserve"> 1: </w:t>
      </w:r>
      <w:r w:rsidRPr="00614823">
        <w:rPr>
          <w:lang w:val="en-US"/>
        </w:rPr>
        <w:t xml:space="preserve">Schema </w:t>
      </w:r>
      <w:proofErr w:type="spellStart"/>
      <w:r w:rsidRPr="00614823">
        <w:rPr>
          <w:lang w:val="en-US"/>
        </w:rPr>
        <w:t>der</w:t>
      </w:r>
      <w:proofErr w:type="spellEnd"/>
      <w:r w:rsidRPr="00614823">
        <w:rPr>
          <w:lang w:val="en-US"/>
        </w:rPr>
        <w:t xml:space="preserve"> </w:t>
      </w:r>
      <w:proofErr w:type="spellStart"/>
      <w:r w:rsidRPr="00614823">
        <w:rPr>
          <w:lang w:val="en-US"/>
        </w:rPr>
        <w:t>Kupferraffination</w:t>
      </w:r>
      <w:proofErr w:type="spellEnd"/>
      <w:r w:rsidRPr="00614823">
        <w:rPr>
          <w:lang w:val="en-US"/>
        </w:rPr>
        <w:t xml:space="preserve"> [By </w:t>
      </w:r>
      <w:proofErr w:type="spellStart"/>
      <w:r w:rsidRPr="00614823">
        <w:rPr>
          <w:lang w:val="en-US"/>
        </w:rPr>
        <w:t>Maxiantor</w:t>
      </w:r>
      <w:proofErr w:type="spellEnd"/>
      <w:r w:rsidRPr="00614823">
        <w:rPr>
          <w:lang w:val="en-US"/>
        </w:rPr>
        <w:t xml:space="preserve"> (Own work) [CC BY-SA 3.0 (http://creativecommons.org/l</w:t>
      </w:r>
      <w:r>
        <w:rPr>
          <w:lang w:val="en-US"/>
        </w:rPr>
        <w:t xml:space="preserve">icenses/by-sa/3.0) or </w:t>
      </w:r>
      <w:r w:rsidRPr="00614823">
        <w:rPr>
          <w:lang w:val="en-US"/>
        </w:rPr>
        <w:t>GFDL (http://www.gnu.org/copyleft/fdl.html)], via Wikimedia Commons</w:t>
      </w:r>
      <w:r>
        <w:rPr>
          <w:lang w:val="en-US"/>
        </w:rPr>
        <w:t>].</w:t>
      </w:r>
    </w:p>
    <w:p w:rsidR="007A7213" w:rsidRPr="002E3B77" w:rsidRDefault="007A7213" w:rsidP="007A7213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rPr>
          <w:color w:val="auto"/>
        </w:rPr>
        <w:t>Anodenreaktion: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A7213" w:rsidRDefault="007A7213" w:rsidP="007A7213">
      <w:pPr>
        <w:spacing w:line="276" w:lineRule="auto"/>
        <w:rPr>
          <w:color w:val="auto"/>
        </w:rPr>
      </w:pPr>
      <w:r>
        <w:rPr>
          <w:color w:val="auto"/>
        </w:rPr>
        <w:t>Kathodenreaktion: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7A7213" w:rsidRDefault="007A7213" w:rsidP="007A7213">
      <w:pPr>
        <w:spacing w:line="276" w:lineRule="auto"/>
        <w:ind w:left="1276" w:hanging="1276"/>
        <w:rPr>
          <w:color w:val="auto"/>
        </w:rPr>
      </w:pPr>
      <w:r w:rsidRPr="009B67E0">
        <w:rPr>
          <w:color w:val="auto"/>
          <w:u w:val="single"/>
        </w:rPr>
        <w:t>Aufgabe 3:</w:t>
      </w:r>
      <w:r>
        <w:rPr>
          <w:color w:val="auto"/>
        </w:rPr>
        <w:t xml:space="preserve"> </w:t>
      </w:r>
      <w:r>
        <w:rPr>
          <w:color w:val="auto"/>
        </w:rPr>
        <w:tab/>
        <w:t>Bewerte die Umweltverträglichkeit des elektrolytischen Verfahrens. Recherchiere hierzu im Internet. Stelle Vor- und Nachteile des Elektrolyseverfahrens dar.</w:t>
      </w:r>
    </w:p>
    <w:p w:rsidR="007A7213" w:rsidRDefault="007A7213" w:rsidP="007A7213">
      <w:pPr>
        <w:rPr>
          <w:color w:val="auto"/>
        </w:rPr>
      </w:pPr>
    </w:p>
    <w:p w:rsidR="007A7213" w:rsidRPr="00E54798" w:rsidRDefault="007A7213" w:rsidP="007A7213">
      <w:pPr>
        <w:rPr>
          <w:color w:val="auto"/>
        </w:rPr>
      </w:pPr>
    </w:p>
    <w:p w:rsidR="007A7213" w:rsidRPr="005240FE" w:rsidRDefault="007A7213" w:rsidP="007A7213">
      <w:pPr>
        <w:sectPr w:rsidR="007A7213" w:rsidRPr="005240FE" w:rsidSect="00614823">
          <w:headerReference w:type="default" r:id="rId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7A7213" w:rsidRDefault="007A7213" w:rsidP="007A7213">
      <w:pPr>
        <w:pStyle w:val="berschrift1"/>
        <w:rPr>
          <w:color w:val="auto"/>
        </w:rPr>
      </w:pPr>
      <w:bookmarkStart w:id="0" w:name="_Toc427698549"/>
      <w:r w:rsidRPr="00652097">
        <w:rPr>
          <w:color w:val="auto"/>
        </w:rPr>
        <w:lastRenderedPageBreak/>
        <w:t>Didaktischer Kommentar zum Schülerarbeitsblatt</w:t>
      </w:r>
      <w:bookmarkEnd w:id="0"/>
      <w:r w:rsidRPr="00652097">
        <w:rPr>
          <w:color w:val="auto"/>
        </w:rPr>
        <w:t xml:space="preserve"> </w:t>
      </w:r>
    </w:p>
    <w:p w:rsidR="007A7213" w:rsidRDefault="007A7213" w:rsidP="007A7213">
      <w:r>
        <w:t>Das Arbeitsblatt „Elektrolytische Kupferraffination“ ist im Rahmen einer Unterrichtseinheit zu großtechnischen Elektrolyseverfahren einzusetzen. Es dient der Festigung des grundlegenden Prinzips der Elektrolyse. Im Vorfeld sollte der Schülerversuch „Elektrolytische Kupferraffinat</w:t>
      </w:r>
      <w:r>
        <w:t>i</w:t>
      </w:r>
      <w:r>
        <w:t xml:space="preserve">on“ im Sinne eines Erarbeitungsexperiments durchgeführt worden sein. Das Aufstellen von </w:t>
      </w:r>
      <w:proofErr w:type="spellStart"/>
      <w:r>
        <w:t>Redoxgleichungen</w:t>
      </w:r>
      <w:proofErr w:type="spellEnd"/>
      <w:r>
        <w:t xml:space="preserve"> sowie die dabei ablaufenden Prozesse werden als Vorwissen vorausgesetzt. Weiterhin muss vorher bekannt sein, dass eine Kupfersulfat-Lösung blau gefärbt ist. </w:t>
      </w:r>
    </w:p>
    <w:p w:rsidR="007A7213" w:rsidRDefault="007A7213" w:rsidP="007A7213">
      <w:r>
        <w:t xml:space="preserve">In Aufgabe 1 sollen die grundlegenden Begriffe von den </w:t>
      </w:r>
      <w:proofErr w:type="spellStart"/>
      <w:r>
        <w:t>SuS</w:t>
      </w:r>
      <w:proofErr w:type="spellEnd"/>
      <w:r>
        <w:t xml:space="preserve"> definiert werden. Diese Aufgabe bereitet die zweite Aufgabe vor, in welcher diese Begriffe nun in ein vorgegebenes Schema eingeordnet werden sollen. Ziel dieser Aufgabe ist es, dass die </w:t>
      </w:r>
      <w:proofErr w:type="spellStart"/>
      <w:r>
        <w:t>SuS</w:t>
      </w:r>
      <w:proofErr w:type="spellEnd"/>
      <w:r>
        <w:t xml:space="preserve"> selbstständig überprüfen kö</w:t>
      </w:r>
      <w:r>
        <w:t>n</w:t>
      </w:r>
      <w:r>
        <w:t>nen, ob das grundlegende Konzept der Elektrolyse am Beispiel der elektrolytischen Kupferraff</w:t>
      </w:r>
      <w:r>
        <w:t>i</w:t>
      </w:r>
      <w:r>
        <w:t>nation verstanden worden ist. Daher sollen auch die Reaktionsgleichungen zu den Elektrode</w:t>
      </w:r>
      <w:r>
        <w:t>n</w:t>
      </w:r>
      <w:r>
        <w:t xml:space="preserve">prozessen formuliert werden. Die </w:t>
      </w:r>
      <w:proofErr w:type="spellStart"/>
      <w:r>
        <w:t>SuS</w:t>
      </w:r>
      <w:proofErr w:type="spellEnd"/>
      <w:r>
        <w:t xml:space="preserve"> sollen hierbei zwischen Roh- und </w:t>
      </w:r>
      <w:proofErr w:type="spellStart"/>
      <w:r>
        <w:t>Reinkupfer</w:t>
      </w:r>
      <w:proofErr w:type="spellEnd"/>
      <w:r>
        <w:t xml:space="preserve"> untersche</w:t>
      </w:r>
      <w:r>
        <w:t>i</w:t>
      </w:r>
      <w:r>
        <w:t>den. Weiterhin müssen Pluspol und Anode sowie Minuspol und Kathode richtig kombiniert we</w:t>
      </w:r>
      <w:r>
        <w:t>r</w:t>
      </w:r>
      <w:r>
        <w:t xml:space="preserve">den. In Aufgabe 3 sollen die </w:t>
      </w:r>
      <w:proofErr w:type="spellStart"/>
      <w:r>
        <w:t>SuS</w:t>
      </w:r>
      <w:proofErr w:type="spellEnd"/>
      <w:r>
        <w:t xml:space="preserve"> eine Bewertung des elektrolytischen Prozesses allgemein sowie speziell der elektrolytischen Kupferraffination durchführen. Dies soll eigenständig und unte</w:t>
      </w:r>
      <w:r>
        <w:t>r</w:t>
      </w:r>
      <w:r>
        <w:t xml:space="preserve">stützt durch eine Internetrecherche geschehen. </w:t>
      </w:r>
    </w:p>
    <w:p w:rsidR="007A7213" w:rsidRPr="00652097" w:rsidRDefault="007A7213" w:rsidP="007A7213">
      <w:r>
        <w:t>Weiterführende geeignete Aufgaben zu diesem Versuch wären beispielsweise die Berechnung einer Produktausbeute pro Stunde.</w:t>
      </w:r>
    </w:p>
    <w:p w:rsidR="007A7213" w:rsidRPr="00652097" w:rsidRDefault="007A7213" w:rsidP="007A7213">
      <w:pPr>
        <w:pStyle w:val="berschrift2"/>
      </w:pPr>
      <w:bookmarkStart w:id="1" w:name="_Toc427698550"/>
      <w:r w:rsidRPr="00652097">
        <w:t>Erwartungshorizont (Kerncurriculum)</w:t>
      </w:r>
      <w:bookmarkEnd w:id="1"/>
    </w:p>
    <w:p w:rsidR="007A7213" w:rsidRPr="000419E4" w:rsidRDefault="007A7213" w:rsidP="007A7213">
      <w:r>
        <w:t>Im Folgenden soll der Bezug der Aufgaben zum Kerncurriculum exemplarisch aufgezeigt we</w:t>
      </w:r>
      <w:r>
        <w:t>r</w:t>
      </w:r>
      <w:r>
        <w:t>den.</w:t>
      </w:r>
    </w:p>
    <w:p w:rsidR="007A7213" w:rsidRPr="00B50EE0" w:rsidRDefault="007A7213" w:rsidP="007A7213">
      <w:pPr>
        <w:tabs>
          <w:tab w:val="left" w:pos="2552"/>
        </w:tabs>
        <w:ind w:left="2552" w:hanging="2552"/>
      </w:pPr>
      <w:r>
        <w:t xml:space="preserve">Fachwissen: 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</w:t>
      </w:r>
      <w:r w:rsidRPr="00B50EE0">
        <w:t>erläutern den Bau von Elektrolysezellen</w:t>
      </w:r>
      <w:r>
        <w:t xml:space="preserve"> sowie das Prinzip der Elektrolyse. Außerdem deuten sie die Elektrolyse als Umkehr des galvanischen Elements. </w:t>
      </w:r>
    </w:p>
    <w:p w:rsidR="007A7213" w:rsidRDefault="007A7213" w:rsidP="007A7213">
      <w:pPr>
        <w:tabs>
          <w:tab w:val="left" w:pos="2552"/>
        </w:tabs>
        <w:ind w:left="2550" w:hanging="2550"/>
      </w:pPr>
      <w:r>
        <w:t>Erkenntnisgewinnung: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führen Experimente zu Elektronenübertragungsreaktionen durch. Sie nutzen eine geeignete Formelschreibweise. </w:t>
      </w:r>
    </w:p>
    <w:p w:rsidR="007A7213" w:rsidRDefault="007A7213" w:rsidP="007A7213">
      <w:pPr>
        <w:tabs>
          <w:tab w:val="left" w:pos="2552"/>
        </w:tabs>
        <w:ind w:left="2552" w:hanging="2552"/>
      </w:pPr>
      <w:r>
        <w:t>Kommunikation: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</w:t>
      </w:r>
      <w:r w:rsidRPr="00B178DD">
        <w:t>wenden Fachbegriffe zur Redoxreaktion an</w:t>
      </w:r>
      <w:r>
        <w:t xml:space="preserve"> und </w:t>
      </w:r>
      <w:r w:rsidRPr="00B178DD">
        <w:t>stellen Elek</w:t>
      </w:r>
      <w:r w:rsidRPr="00B178DD">
        <w:t>t</w:t>
      </w:r>
      <w:r w:rsidRPr="00B178DD">
        <w:t>rolysezellen in Form von Skizzen dar</w:t>
      </w:r>
      <w:r>
        <w:t>.</w:t>
      </w:r>
      <w:r w:rsidRPr="00B178DD">
        <w:rPr>
          <w:b/>
          <w:bCs/>
        </w:rPr>
        <w:t xml:space="preserve"> </w:t>
      </w:r>
    </w:p>
    <w:p w:rsidR="007A7213" w:rsidRDefault="007A7213" w:rsidP="007A7213">
      <w:pPr>
        <w:tabs>
          <w:tab w:val="left" w:pos="2552"/>
        </w:tabs>
        <w:ind w:left="2550" w:hanging="2550"/>
      </w:pPr>
      <w:r>
        <w:lastRenderedPageBreak/>
        <w:t xml:space="preserve">Bewertung: </w:t>
      </w:r>
      <w:r>
        <w:tab/>
        <w:t xml:space="preserve">Die </w:t>
      </w:r>
      <w:proofErr w:type="spellStart"/>
      <w:r>
        <w:t>SuS</w:t>
      </w:r>
      <w:proofErr w:type="spellEnd"/>
      <w:r>
        <w:t xml:space="preserve"> </w:t>
      </w:r>
      <w:r w:rsidRPr="00B178DD">
        <w:t>bewerten den Einsatz und das Auftreten von Redoxsystemen in Alltag und Technik</w:t>
      </w:r>
      <w:r>
        <w:t xml:space="preserve"> und </w:t>
      </w:r>
      <w:r w:rsidRPr="00B178DD">
        <w:t>nutzen ihre Kenntnisse über Redoxrea</w:t>
      </w:r>
      <w:r w:rsidRPr="00B178DD">
        <w:t>k</w:t>
      </w:r>
      <w:r w:rsidRPr="00B178DD">
        <w:t>tionen zur Erklärung von Alltags- und Technikprozessen</w:t>
      </w:r>
      <w:r>
        <w:t>.</w:t>
      </w:r>
    </w:p>
    <w:p w:rsidR="007A7213" w:rsidRDefault="007A7213" w:rsidP="007A7213">
      <w:pPr>
        <w:tabs>
          <w:tab w:val="left" w:pos="2552"/>
        </w:tabs>
        <w:ind w:left="2550" w:hanging="2550"/>
      </w:pPr>
      <w:r>
        <w:t>Aufgabe 1:</w:t>
      </w:r>
      <w:r>
        <w:tab/>
        <w:t>Aufgabe 1 liegt im Anforderungsbereich I. Es sollen grundlegende Begriffe richtig definiert werden.</w:t>
      </w:r>
    </w:p>
    <w:p w:rsidR="007A7213" w:rsidRDefault="007A7213" w:rsidP="007A7213">
      <w:pPr>
        <w:tabs>
          <w:tab w:val="left" w:pos="2552"/>
        </w:tabs>
        <w:ind w:left="2550" w:hanging="2550"/>
      </w:pPr>
      <w:r>
        <w:t xml:space="preserve">Aufgabe 2: </w:t>
      </w:r>
      <w:r>
        <w:tab/>
        <w:t>Aufgabe 2 liegt im Anforderungsbereich II. Begriffe und der Elektr</w:t>
      </w:r>
      <w:r>
        <w:t>o</w:t>
      </w:r>
      <w:r>
        <w:t>nenfluss sollen richtig eingezeichnet werden. Außerdem sollen Rea</w:t>
      </w:r>
      <w:r>
        <w:t>k</w:t>
      </w:r>
      <w:r>
        <w:t xml:space="preserve">tionsgleichungen der Teilprozesse formuliert werden. </w:t>
      </w:r>
    </w:p>
    <w:p w:rsidR="007A7213" w:rsidRDefault="007A7213" w:rsidP="007A7213">
      <w:pPr>
        <w:tabs>
          <w:tab w:val="left" w:pos="2552"/>
        </w:tabs>
        <w:ind w:left="2550" w:hanging="2550"/>
      </w:pPr>
      <w:r>
        <w:t xml:space="preserve">Aufgabe 3: </w:t>
      </w:r>
      <w:r>
        <w:tab/>
        <w:t xml:space="preserve">Aufgabe 3 liegt im Anforderungsbereich III. Die </w:t>
      </w:r>
      <w:proofErr w:type="spellStart"/>
      <w:r>
        <w:t>SuS</w:t>
      </w:r>
      <w:proofErr w:type="spellEnd"/>
      <w:r>
        <w:t xml:space="preserve"> sollen die U</w:t>
      </w:r>
      <w:r>
        <w:t>m</w:t>
      </w:r>
      <w:r>
        <w:t xml:space="preserve">weltverträglichkeit des Verfahrens mithilfe von eigens im Internet recherchierten Daten bewerten. </w:t>
      </w:r>
    </w:p>
    <w:p w:rsidR="007A7213" w:rsidRPr="00E54798" w:rsidRDefault="007A7213" w:rsidP="007A7213">
      <w:pPr>
        <w:pStyle w:val="berschrift2"/>
        <w:rPr>
          <w:color w:val="auto"/>
        </w:rPr>
      </w:pPr>
      <w:bookmarkStart w:id="2" w:name="_Toc427698551"/>
      <w:r w:rsidRPr="00E54798">
        <w:rPr>
          <w:color w:val="auto"/>
        </w:rPr>
        <w:t>Erwartungshorizont (Inhaltlich)</w:t>
      </w:r>
      <w:bookmarkEnd w:id="2"/>
    </w:p>
    <w:p w:rsidR="007A7213" w:rsidRDefault="007A7213" w:rsidP="007A7213">
      <w:pPr>
        <w:rPr>
          <w:color w:val="auto"/>
        </w:rPr>
      </w:pPr>
      <w:r w:rsidRPr="009B67E0">
        <w:rPr>
          <w:color w:val="auto"/>
          <w:u w:val="single"/>
        </w:rPr>
        <w:t>Aufgabe 1:</w:t>
      </w:r>
      <w:r>
        <w:rPr>
          <w:color w:val="auto"/>
        </w:rPr>
        <w:t xml:space="preserve"> Definiere die Begriffe Anode und Kathode sowie Minuspol und Pluspol:</w:t>
      </w:r>
    </w:p>
    <w:p w:rsidR="007A7213" w:rsidRDefault="007A7213" w:rsidP="007A7213">
      <w:pPr>
        <w:ind w:left="993" w:hanging="993"/>
        <w:rPr>
          <w:color w:val="auto"/>
        </w:rPr>
      </w:pPr>
      <w:r>
        <w:rPr>
          <w:color w:val="auto"/>
        </w:rPr>
        <w:t xml:space="preserve">Anode: </w:t>
      </w:r>
      <w:r>
        <w:rPr>
          <w:color w:val="auto"/>
        </w:rPr>
        <w:tab/>
      </w:r>
      <w:r w:rsidRPr="00D37DBF">
        <w:t xml:space="preserve">An der Anode </w:t>
      </w:r>
      <w:r>
        <w:t xml:space="preserve">findet die Oxidation statt. </w:t>
      </w:r>
      <w:r w:rsidRPr="00D37DBF">
        <w:t xml:space="preserve">Teilchen </w:t>
      </w:r>
      <w:r>
        <w:t xml:space="preserve">geben </w:t>
      </w:r>
      <w:r w:rsidRPr="00D37DBF">
        <w:t>El</w:t>
      </w:r>
      <w:r>
        <w:t xml:space="preserve">ektronen an den Leiterdraht ab. </w:t>
      </w:r>
    </w:p>
    <w:p w:rsidR="007A7213" w:rsidRDefault="007A7213" w:rsidP="007A7213">
      <w:pPr>
        <w:ind w:left="993" w:hanging="993"/>
        <w:rPr>
          <w:color w:val="auto"/>
        </w:rPr>
      </w:pPr>
      <w:r>
        <w:rPr>
          <w:color w:val="auto"/>
        </w:rPr>
        <w:t xml:space="preserve">Kathode: </w:t>
      </w:r>
      <w:r>
        <w:rPr>
          <w:color w:val="auto"/>
        </w:rPr>
        <w:tab/>
      </w:r>
      <w:r w:rsidRPr="00D37DBF">
        <w:t xml:space="preserve">An der </w:t>
      </w:r>
      <w:r>
        <w:t>Kathode</w:t>
      </w:r>
      <w:r w:rsidRPr="00D37DBF">
        <w:t xml:space="preserve"> </w:t>
      </w:r>
      <w:r>
        <w:t>findet die Reduktion statt. Teilchen nehmen</w:t>
      </w:r>
      <w:r w:rsidRPr="00D37DBF">
        <w:t xml:space="preserve"> El</w:t>
      </w:r>
      <w:r>
        <w:t>ektronen aus dem Le</w:t>
      </w:r>
      <w:r>
        <w:t>i</w:t>
      </w:r>
      <w:r>
        <w:t>terdraht auf.</w:t>
      </w:r>
    </w:p>
    <w:p w:rsidR="007A7213" w:rsidRDefault="007A7213" w:rsidP="007A7213">
      <w:r>
        <w:rPr>
          <w:color w:val="auto"/>
        </w:rPr>
        <w:t xml:space="preserve">Minuspol: Pol mit Elektronenüberschuss. </w:t>
      </w:r>
    </w:p>
    <w:p w:rsidR="007A7213" w:rsidRDefault="007A7213" w:rsidP="007A7213">
      <w:pPr>
        <w:tabs>
          <w:tab w:val="left" w:pos="993"/>
        </w:tabs>
      </w:pPr>
      <w:r>
        <w:rPr>
          <w:color w:val="auto"/>
        </w:rPr>
        <w:t xml:space="preserve">Pluspol: </w:t>
      </w:r>
      <w:r>
        <w:rPr>
          <w:color w:val="auto"/>
        </w:rPr>
        <w:tab/>
      </w:r>
      <w:r>
        <w:t xml:space="preserve">Pol mit Elektronenmangel. </w:t>
      </w:r>
      <w:r w:rsidRPr="00D37DBF">
        <w:t xml:space="preserve"> </w:t>
      </w:r>
    </w:p>
    <w:p w:rsidR="007A7213" w:rsidRDefault="007A7213" w:rsidP="007A7213">
      <w:pPr>
        <w:tabs>
          <w:tab w:val="left" w:pos="993"/>
        </w:tabs>
        <w:ind w:left="1134" w:hanging="1134"/>
      </w:pPr>
      <w:r>
        <w:rPr>
          <w:noProof/>
          <w:color w:val="auto"/>
          <w:u w:val="single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989330</wp:posOffset>
            </wp:positionV>
            <wp:extent cx="3324225" cy="2486025"/>
            <wp:effectExtent l="19050" t="0" r="9525" b="0"/>
            <wp:wrapTight wrapText="bothSides">
              <wp:wrapPolygon edited="0">
                <wp:start x="9903" y="0"/>
                <wp:lineTo x="5075" y="1159"/>
                <wp:lineTo x="4085" y="1490"/>
                <wp:lineTo x="4085" y="5297"/>
                <wp:lineTo x="124" y="6124"/>
                <wp:lineTo x="-124" y="6290"/>
                <wp:lineTo x="-124" y="19862"/>
                <wp:lineTo x="495" y="21517"/>
                <wp:lineTo x="619" y="21517"/>
                <wp:lineTo x="21043" y="21517"/>
                <wp:lineTo x="21167" y="21517"/>
                <wp:lineTo x="21414" y="21186"/>
                <wp:lineTo x="21538" y="21186"/>
                <wp:lineTo x="21662" y="19366"/>
                <wp:lineTo x="21662" y="6290"/>
                <wp:lineTo x="21167" y="5959"/>
                <wp:lineTo x="17948" y="5297"/>
                <wp:lineTo x="18196" y="1655"/>
                <wp:lineTo x="17577" y="1324"/>
                <wp:lineTo x="10645" y="0"/>
                <wp:lineTo x="9903" y="0"/>
              </wp:wrapPolygon>
            </wp:wrapTight>
            <wp:docPr id="56" name="Grafik 0" descr="korrigiertT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rigiertTite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u w:val="single"/>
        </w:rPr>
        <w:t>Aufgabe 2</w:t>
      </w:r>
      <w:r w:rsidRPr="009B67E0">
        <w:rPr>
          <w:color w:val="auto"/>
          <w:u w:val="single"/>
        </w:rPr>
        <w:t>:</w:t>
      </w:r>
      <w:r>
        <w:rPr>
          <w:color w:val="auto"/>
        </w:rPr>
        <w:t xml:space="preserve"> Ordne nun die eben definierten Begriffe in das unten abgebildete Schema ein. Trage außerdem den Elektronenfluss mit Pfeilen an die Leiterdrähte ein. Formuliere a</w:t>
      </w:r>
      <w:r>
        <w:rPr>
          <w:color w:val="auto"/>
        </w:rPr>
        <w:t>n</w:t>
      </w:r>
      <w:r>
        <w:rPr>
          <w:color w:val="auto"/>
        </w:rPr>
        <w:t>schließend die Reaktionsgleichungen für die Prozesse die an Anode und Kathode a</w:t>
      </w:r>
      <w:r>
        <w:rPr>
          <w:color w:val="auto"/>
        </w:rPr>
        <w:t>b</w:t>
      </w:r>
      <w:r>
        <w:rPr>
          <w:color w:val="auto"/>
        </w:rPr>
        <w:t>laufen.</w:t>
      </w:r>
    </w:p>
    <w:p w:rsidR="007A7213" w:rsidRDefault="007A7213" w:rsidP="007A7213">
      <w:pPr>
        <w:keepNext/>
        <w:jc w:val="center"/>
      </w:pPr>
      <w:r w:rsidRPr="002133F0">
        <w:rPr>
          <w:noProof/>
          <w:color w:val="auto"/>
          <w:lang w:eastAsia="de-DE"/>
        </w:rPr>
        <w:pict>
          <v:group id="_x0000_s1028" style="position:absolute;left:0;text-align:left;margin-left:117.45pt;margin-top:10.35pt;width:230.9pt;height:169.55pt;z-index:251662336" coordorigin="3766,11362" coordsize="4618,3391">
            <v:shape id="_x0000_s1029" type="#_x0000_t202" style="position:absolute;left:3946;top:14298;width:877;height:320;mso-width-relative:margin;mso-height-relative:margin" stroked="f">
              <v:textbox style="mso-next-textbox:#_x0000_s1029">
                <w:txbxContent>
                  <w:p w:rsidR="007A7213" w:rsidRPr="00FA6688" w:rsidRDefault="007A7213" w:rsidP="007A7213">
                    <w:pPr>
                      <w:rPr>
                        <w:color w:val="00B050"/>
                        <w:sz w:val="16"/>
                      </w:rPr>
                    </w:pPr>
                    <w:r>
                      <w:rPr>
                        <w:color w:val="00B050"/>
                        <w:sz w:val="16"/>
                      </w:rPr>
                      <w:t>Anode</w:t>
                    </w:r>
                  </w:p>
                </w:txbxContent>
              </v:textbox>
            </v:shape>
            <v:group id="_x0000_s1030" style="position:absolute;left:3766;top:11362;width:4618;height:503" coordorigin="3766,11362" coordsize="4618,503">
              <v:shape id="_x0000_s1031" type="#_x0000_t202" style="position:absolute;left:3766;top:11444;width:470;height:421;mso-width-relative:margin;mso-height-relative:margin" stroked="f">
                <v:textbox style="mso-next-textbox:#_x0000_s1031">
                  <w:txbxContent>
                    <w:p w:rsidR="007A7213" w:rsidRPr="00FA6688" w:rsidRDefault="007A7213" w:rsidP="007A7213">
                      <w:pPr>
                        <w:rPr>
                          <w:color w:val="00B050"/>
                          <w:sz w:val="16"/>
                          <w:vertAlign w:val="superscript"/>
                        </w:rPr>
                      </w:pPr>
                      <w:r>
                        <w:rPr>
                          <w:color w:val="00B050"/>
                          <w:sz w:val="16"/>
                        </w:rPr>
                        <w:t>e</w:t>
                      </w:r>
                      <w:r>
                        <w:rPr>
                          <w:color w:val="00B050"/>
                          <w:sz w:val="16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  <v:group id="_x0000_s1032" style="position:absolute;left:4334;top:11362;width:4050;height:475" coordorigin="4334,11362" coordsize="4050,47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334;top:11362;width:0;height:462;flip:y" o:connectortype="straight" strokecolor="#00b050">
                  <v:stroke endarrow="block"/>
                  <v:shadow type="perspective" color="#4e6128 [1606]" opacity=".5" offset="1pt" offset2="-1pt"/>
                </v:shape>
                <v:shape id="_x0000_s1034" type="#_x0000_t32" style="position:absolute;left:7742;top:11416;width:0;height:408" o:connectortype="straight" strokecolor="#00b050">
                  <v:stroke endarrow="block"/>
                  <v:shadow type="perspective" color="#4e6128 [1606]" opacity=".5" offset="1pt" offset2="-1pt"/>
                </v:shape>
                <v:shape id="_x0000_s1035" type="#_x0000_t202" style="position:absolute;left:7914;top:11416;width:470;height:421;mso-width-relative:margin;mso-height-relative:margin" stroked="f">
                  <v:textbox style="mso-next-textbox:#_x0000_s1035">
                    <w:txbxContent>
                      <w:p w:rsidR="007A7213" w:rsidRPr="00FA6688" w:rsidRDefault="007A7213" w:rsidP="007A7213">
                        <w:pPr>
                          <w:rPr>
                            <w:color w:val="00B050"/>
                            <w:sz w:val="16"/>
                            <w:vertAlign w:val="superscript"/>
                          </w:rPr>
                        </w:pPr>
                        <w:r>
                          <w:rPr>
                            <w:color w:val="00B050"/>
                            <w:sz w:val="16"/>
                          </w:rPr>
                          <w:t>e</w:t>
                        </w:r>
                        <w:r>
                          <w:rPr>
                            <w:color w:val="00B050"/>
                            <w:sz w:val="16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shape id="_x0000_s1036" type="#_x0000_t202" style="position:absolute;left:6668;top:14433;width:877;height:320;mso-width-relative:margin;mso-height-relative:margin" stroked="f">
              <v:textbox style="mso-next-textbox:#_x0000_s1036">
                <w:txbxContent>
                  <w:p w:rsidR="007A7213" w:rsidRPr="00FA6688" w:rsidRDefault="007A7213" w:rsidP="007A7213">
                    <w:pPr>
                      <w:rPr>
                        <w:color w:val="00B050"/>
                        <w:sz w:val="16"/>
                      </w:rPr>
                    </w:pPr>
                    <w:r>
                      <w:rPr>
                        <w:color w:val="00B050"/>
                        <w:sz w:val="16"/>
                      </w:rPr>
                      <w:t>Kathode</w:t>
                    </w:r>
                  </w:p>
                </w:txbxContent>
              </v:textbox>
            </v:shape>
          </v:group>
        </w:pict>
      </w: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  <w:r w:rsidRPr="002133F0">
        <w:rPr>
          <w:noProof/>
          <w:color w:val="auto"/>
          <w:lang w:eastAsia="de-DE"/>
        </w:rPr>
        <w:pict>
          <v:shape id="_x0000_s1027" type="#_x0000_t202" style="position:absolute;left:0;text-align:left;margin-left:301.35pt;margin-top:3.2pt;width:23.5pt;height:16.3pt;z-index:251661312;mso-width-relative:margin;mso-height-relative:margin" stroked="f">
            <v:textbox style="mso-next-textbox:#_x0000_s1027">
              <w:txbxContent>
                <w:p w:rsidR="007A7213" w:rsidRPr="00FA6688" w:rsidRDefault="007A7213" w:rsidP="007A7213">
                  <w:pPr>
                    <w:rPr>
                      <w:color w:val="00B050"/>
                      <w:sz w:val="16"/>
                      <w:vertAlign w:val="superscript"/>
                    </w:rPr>
                  </w:pPr>
                  <w:r>
                    <w:rPr>
                      <w:color w:val="00B050"/>
                      <w:sz w:val="16"/>
                    </w:rPr>
                    <w:t>e</w:t>
                  </w:r>
                  <w:r>
                    <w:rPr>
                      <w:color w:val="00B050"/>
                      <w:sz w:val="16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</w:p>
    <w:p w:rsidR="007A7213" w:rsidRDefault="007A7213" w:rsidP="007A7213">
      <w:pPr>
        <w:keepNext/>
        <w:jc w:val="center"/>
      </w:pPr>
      <w:r w:rsidRPr="002133F0">
        <w:rPr>
          <w:noProof/>
          <w:color w:val="auto"/>
          <w:lang w:eastAsia="de-DE"/>
        </w:rPr>
        <w:lastRenderedPageBreak/>
        <w:pict>
          <v:shape id="_x0000_s1026" type="#_x0000_t202" style="position:absolute;left:0;text-align:left;margin-left:284.45pt;margin-top:179.95pt;width:55.3pt;height:16pt;z-index:251660288;mso-width-relative:margin;mso-height-relative:margin" stroked="f">
            <v:textbox style="mso-next-textbox:#_x0000_s1026">
              <w:txbxContent>
                <w:p w:rsidR="007A7213" w:rsidRPr="00FA6688" w:rsidRDefault="007A7213" w:rsidP="007A7213">
                  <w:pPr>
                    <w:rPr>
                      <w:color w:val="00B050"/>
                      <w:sz w:val="16"/>
                    </w:rPr>
                  </w:pPr>
                  <w:r>
                    <w:rPr>
                      <w:color w:val="00B050"/>
                      <w:sz w:val="16"/>
                    </w:rPr>
                    <w:t>Kathode</w:t>
                  </w:r>
                </w:p>
              </w:txbxContent>
            </v:textbox>
          </v:shape>
        </w:pict>
      </w:r>
    </w:p>
    <w:p w:rsidR="007A7213" w:rsidRDefault="007A7213" w:rsidP="007A7213">
      <w:pPr>
        <w:pStyle w:val="Beschriftung"/>
        <w:spacing w:after="360"/>
        <w:jc w:val="center"/>
      </w:pPr>
    </w:p>
    <w:p w:rsidR="007A7213" w:rsidRPr="002E3B77" w:rsidRDefault="007A7213" w:rsidP="007A7213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rPr>
          <w:color w:val="auto"/>
        </w:rPr>
        <w:t>Anodenreaktion: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sub>
        </m:sSub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2+</m:t>
            </m:r>
          </m:sup>
        </m:sSubSup>
        <m:r>
          <w:rPr>
            <w:rFonts w:ascii="Cambria Math" w:hAnsi="Cambria Math"/>
          </w:rPr>
          <m:t xml:space="preserve">+ 2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7A7213" w:rsidRDefault="007A7213" w:rsidP="007A7213">
      <w:pPr>
        <w:spacing w:line="276" w:lineRule="auto"/>
        <w:rPr>
          <w:rFonts w:eastAsiaTheme="minorEastAsia"/>
        </w:rPr>
      </w:pPr>
      <w:r>
        <w:rPr>
          <w:color w:val="auto"/>
        </w:rPr>
        <w:t>Kathodenreaktion: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2+</m:t>
            </m:r>
          </m:sup>
        </m:sSubSup>
        <m:r>
          <w:rPr>
            <w:rFonts w:ascii="Cambria Math" w:hAnsi="Cambria Math"/>
          </w:rPr>
          <m:t xml:space="preserve">+ 2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→ 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sub>
        </m:sSub>
      </m:oMath>
    </w:p>
    <w:p w:rsidR="007A7213" w:rsidRDefault="007A7213" w:rsidP="007A7213">
      <w:pPr>
        <w:spacing w:line="276" w:lineRule="auto"/>
        <w:rPr>
          <w:rFonts w:eastAsiaTheme="minorEastAsia"/>
        </w:rPr>
      </w:pPr>
    </w:p>
    <w:p w:rsidR="007A7213" w:rsidRDefault="007A7213" w:rsidP="007A7213">
      <w:pPr>
        <w:spacing w:after="0" w:line="276" w:lineRule="auto"/>
        <w:ind w:left="1134" w:hanging="1134"/>
        <w:rPr>
          <w:color w:val="auto"/>
        </w:rPr>
      </w:pPr>
      <w:r w:rsidRPr="009B67E0">
        <w:rPr>
          <w:color w:val="auto"/>
          <w:u w:val="single"/>
        </w:rPr>
        <w:t>Aufgabe 3:</w:t>
      </w:r>
      <w:r>
        <w:rPr>
          <w:color w:val="auto"/>
        </w:rPr>
        <w:t xml:space="preserve"> Bewerte die Umweltverträglichkeit des Verfahrens. Recherchiere hierzu im Internet. Stelle Vor- und Nachteile des Elektrolyseverfahrens auf.</w:t>
      </w:r>
    </w:p>
    <w:p w:rsidR="007A7213" w:rsidRDefault="007A7213" w:rsidP="007A7213">
      <w:pPr>
        <w:spacing w:after="0" w:line="276" w:lineRule="auto"/>
        <w:ind w:left="1134" w:hanging="1134"/>
        <w:rPr>
          <w:color w:val="auto"/>
        </w:rPr>
      </w:pPr>
    </w:p>
    <w:tbl>
      <w:tblPr>
        <w:tblStyle w:val="HelleListe-Akzent11"/>
        <w:tblW w:w="0" w:type="auto"/>
        <w:tblLayout w:type="fixed"/>
        <w:tblLook w:val="04A0"/>
      </w:tblPr>
      <w:tblGrid>
        <w:gridCol w:w="4539"/>
        <w:gridCol w:w="4506"/>
      </w:tblGrid>
      <w:tr w:rsidR="007A7213" w:rsidRPr="003E3F96" w:rsidTr="00C27408">
        <w:trPr>
          <w:cnfStyle w:val="100000000000"/>
          <w:trHeight w:val="549"/>
        </w:trPr>
        <w:tc>
          <w:tcPr>
            <w:cnfStyle w:val="001000000000"/>
            <w:tcW w:w="4539" w:type="dxa"/>
            <w:vAlign w:val="center"/>
            <w:hideMark/>
          </w:tcPr>
          <w:p w:rsidR="007A7213" w:rsidRPr="00571502" w:rsidRDefault="007A7213" w:rsidP="00C27408">
            <w:pPr>
              <w:spacing w:line="276" w:lineRule="auto"/>
              <w:ind w:left="1134" w:hanging="1134"/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571502">
              <w:rPr>
                <w:rFonts w:asciiTheme="majorHAnsi" w:hAnsiTheme="majorHAnsi"/>
                <w:color w:val="FFFFFF" w:themeColor="background1"/>
                <w:sz w:val="20"/>
              </w:rPr>
              <w:t>Vorteile</w:t>
            </w:r>
          </w:p>
        </w:tc>
        <w:tc>
          <w:tcPr>
            <w:tcW w:w="4506" w:type="dxa"/>
            <w:vAlign w:val="center"/>
            <w:hideMark/>
          </w:tcPr>
          <w:p w:rsidR="007A7213" w:rsidRPr="00571502" w:rsidRDefault="007A7213" w:rsidP="00C27408">
            <w:pPr>
              <w:spacing w:line="276" w:lineRule="auto"/>
              <w:ind w:left="1134" w:hanging="1134"/>
              <w:jc w:val="center"/>
              <w:cnfStyle w:val="100000000000"/>
              <w:rPr>
                <w:rFonts w:asciiTheme="majorHAnsi" w:hAnsiTheme="majorHAnsi"/>
                <w:color w:val="FFFFFF" w:themeColor="background1"/>
                <w:sz w:val="20"/>
              </w:rPr>
            </w:pPr>
            <w:r w:rsidRPr="00571502">
              <w:rPr>
                <w:rFonts w:asciiTheme="majorHAnsi" w:hAnsiTheme="majorHAnsi"/>
                <w:color w:val="FFFFFF" w:themeColor="background1"/>
                <w:sz w:val="20"/>
              </w:rPr>
              <w:t>Nachteile</w:t>
            </w:r>
          </w:p>
        </w:tc>
      </w:tr>
      <w:tr w:rsidR="007A7213" w:rsidRPr="003E3F96" w:rsidTr="00C27408">
        <w:trPr>
          <w:cnfStyle w:val="000000100000"/>
          <w:trHeight w:val="283"/>
        </w:trPr>
        <w:tc>
          <w:tcPr>
            <w:cnfStyle w:val="001000000000"/>
            <w:tcW w:w="4539" w:type="dxa"/>
            <w:hideMark/>
          </w:tcPr>
          <w:p w:rsidR="007A7213" w:rsidRPr="003E3F96" w:rsidRDefault="007A7213" w:rsidP="007A72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/>
                <w:b w:val="0"/>
                <w:color w:val="auto"/>
                <w:sz w:val="20"/>
              </w:rPr>
            </w:pPr>
            <w:r w:rsidRPr="003E3F96">
              <w:rPr>
                <w:rFonts w:asciiTheme="majorHAnsi" w:hAnsiTheme="majorHAnsi"/>
                <w:b w:val="0"/>
                <w:color w:val="auto"/>
                <w:sz w:val="20"/>
              </w:rPr>
              <w:t>weniger Abfall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, da keine Reduktions- oder Oxidationsmittel eingesetzt werden mü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s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sen</w:t>
            </w:r>
          </w:p>
        </w:tc>
        <w:tc>
          <w:tcPr>
            <w:tcW w:w="4506" w:type="dxa"/>
            <w:hideMark/>
          </w:tcPr>
          <w:p w:rsidR="007A7213" w:rsidRPr="003E3F96" w:rsidRDefault="007A7213" w:rsidP="007A7213">
            <w:pPr>
              <w:numPr>
                <w:ilvl w:val="0"/>
                <w:numId w:val="2"/>
              </w:numPr>
              <w:spacing w:line="276" w:lineRule="auto"/>
              <w:jc w:val="center"/>
              <w:cnfStyle w:val="000000100000"/>
              <w:rPr>
                <w:rFonts w:asciiTheme="majorHAnsi" w:hAnsiTheme="majorHAnsi"/>
                <w:color w:val="auto"/>
                <w:sz w:val="20"/>
              </w:rPr>
            </w:pPr>
            <w:r>
              <w:rPr>
                <w:rFonts w:asciiTheme="majorHAnsi" w:hAnsiTheme="majorHAnsi"/>
                <w:color w:val="auto"/>
                <w:sz w:val="20"/>
              </w:rPr>
              <w:t>elektrische Energie ist</w:t>
            </w:r>
            <w:r w:rsidRPr="003E3F96">
              <w:rPr>
                <w:rFonts w:asciiTheme="majorHAnsi" w:hAnsiTheme="majorHAnsi"/>
                <w:color w:val="auto"/>
                <w:sz w:val="20"/>
              </w:rPr>
              <w:t xml:space="preserve"> teuer</w:t>
            </w:r>
            <w:r>
              <w:rPr>
                <w:rFonts w:asciiTheme="majorHAnsi" w:hAnsiTheme="majorHAnsi"/>
                <w:color w:val="auto"/>
                <w:sz w:val="20"/>
              </w:rPr>
              <w:t xml:space="preserve"> (</w:t>
            </w:r>
            <w:r w:rsidRPr="003E3F96">
              <w:rPr>
                <w:rFonts w:asciiTheme="majorHAnsi" w:hAnsiTheme="majorHAnsi"/>
                <w:color w:val="auto"/>
                <w:sz w:val="20"/>
              </w:rPr>
              <w:sym w:font="Wingdings" w:char="F0E0"/>
            </w:r>
            <w:r>
              <w:rPr>
                <w:rFonts w:asciiTheme="majorHAnsi" w:hAnsiTheme="majorHAnsi"/>
                <w:color w:val="auto"/>
                <w:sz w:val="20"/>
              </w:rPr>
              <w:t xml:space="preserve"> erneue</w:t>
            </w:r>
            <w:r>
              <w:rPr>
                <w:rFonts w:asciiTheme="majorHAnsi" w:hAnsiTheme="majorHAnsi"/>
                <w:color w:val="auto"/>
                <w:sz w:val="20"/>
              </w:rPr>
              <w:t>r</w:t>
            </w:r>
            <w:r>
              <w:rPr>
                <w:rFonts w:asciiTheme="majorHAnsi" w:hAnsiTheme="majorHAnsi"/>
                <w:color w:val="auto"/>
                <w:sz w:val="20"/>
              </w:rPr>
              <w:t>bare Energien?)</w:t>
            </w:r>
          </w:p>
        </w:tc>
      </w:tr>
      <w:tr w:rsidR="007A7213" w:rsidRPr="003E3F96" w:rsidTr="00C27408">
        <w:trPr>
          <w:trHeight w:val="283"/>
        </w:trPr>
        <w:tc>
          <w:tcPr>
            <w:cnfStyle w:val="001000000000"/>
            <w:tcW w:w="4539" w:type="dxa"/>
            <w:hideMark/>
          </w:tcPr>
          <w:p w:rsidR="007A7213" w:rsidRPr="003E3F96" w:rsidRDefault="007A7213" w:rsidP="007A72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/>
                <w:b w:val="0"/>
                <w:color w:val="auto"/>
                <w:sz w:val="20"/>
              </w:rPr>
            </w:pPr>
            <w:r w:rsidRPr="003E3F96">
              <w:rPr>
                <w:rFonts w:asciiTheme="majorHAnsi" w:hAnsiTheme="majorHAnsi"/>
                <w:b w:val="0"/>
                <w:color w:val="auto"/>
                <w:sz w:val="20"/>
              </w:rPr>
              <w:t>gut automatisierbar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 xml:space="preserve"> durch direkte Ko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n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trolle von Spannung und Strom</w:t>
            </w:r>
          </w:p>
        </w:tc>
        <w:tc>
          <w:tcPr>
            <w:tcW w:w="4506" w:type="dxa"/>
            <w:hideMark/>
          </w:tcPr>
          <w:p w:rsidR="007A7213" w:rsidRPr="003E3F96" w:rsidRDefault="007A7213" w:rsidP="007A7213">
            <w:pPr>
              <w:numPr>
                <w:ilvl w:val="0"/>
                <w:numId w:val="2"/>
              </w:numPr>
              <w:spacing w:line="276" w:lineRule="auto"/>
              <w:jc w:val="center"/>
              <w:cnfStyle w:val="000000000000"/>
              <w:rPr>
                <w:rFonts w:asciiTheme="majorHAnsi" w:hAnsiTheme="majorHAnsi"/>
                <w:color w:val="auto"/>
                <w:sz w:val="20"/>
              </w:rPr>
            </w:pPr>
            <w:r>
              <w:rPr>
                <w:rFonts w:asciiTheme="majorHAnsi" w:hAnsiTheme="majorHAnsi"/>
                <w:color w:val="auto"/>
                <w:sz w:val="20"/>
              </w:rPr>
              <w:t xml:space="preserve">Bau der </w:t>
            </w:r>
            <w:r w:rsidRPr="003E3F96">
              <w:rPr>
                <w:rFonts w:asciiTheme="majorHAnsi" w:hAnsiTheme="majorHAnsi"/>
                <w:color w:val="auto"/>
                <w:sz w:val="20"/>
              </w:rPr>
              <w:t>Anlagen sehr kostenintensiv</w:t>
            </w:r>
          </w:p>
        </w:tc>
      </w:tr>
      <w:tr w:rsidR="007A7213" w:rsidRPr="003E3F96" w:rsidTr="00C27408">
        <w:trPr>
          <w:cnfStyle w:val="000000100000"/>
          <w:trHeight w:val="283"/>
        </w:trPr>
        <w:tc>
          <w:tcPr>
            <w:cnfStyle w:val="001000000000"/>
            <w:tcW w:w="4539" w:type="dxa"/>
            <w:hideMark/>
          </w:tcPr>
          <w:p w:rsidR="007A7213" w:rsidRPr="003E3F96" w:rsidRDefault="007A7213" w:rsidP="007A72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/>
                <w:b w:val="0"/>
                <w:color w:val="auto"/>
                <w:sz w:val="20"/>
              </w:rPr>
            </w:pPr>
            <w:r>
              <w:rPr>
                <w:rFonts w:asciiTheme="majorHAnsi" w:hAnsiTheme="majorHAnsi"/>
                <w:b w:val="0"/>
                <w:color w:val="auto"/>
                <w:sz w:val="20"/>
              </w:rPr>
              <w:t xml:space="preserve">Bei </w:t>
            </w:r>
            <w:r w:rsidRPr="003E3F96">
              <w:rPr>
                <w:rFonts w:asciiTheme="majorHAnsi" w:hAnsiTheme="majorHAnsi"/>
                <w:b w:val="0"/>
                <w:color w:val="auto"/>
                <w:sz w:val="20"/>
              </w:rPr>
              <w:t>viele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n</w:t>
            </w:r>
            <w:r w:rsidRPr="003E3F96">
              <w:rPr>
                <w:rFonts w:asciiTheme="majorHAnsi" w:hAnsiTheme="majorHAnsi"/>
                <w:b w:val="0"/>
                <w:color w:val="auto"/>
                <w:sz w:val="20"/>
              </w:rPr>
              <w:t xml:space="preserve"> Re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>doxre</w:t>
            </w:r>
            <w:r w:rsidRPr="003E3F96">
              <w:rPr>
                <w:rFonts w:asciiTheme="majorHAnsi" w:hAnsiTheme="majorHAnsi"/>
                <w:b w:val="0"/>
                <w:color w:val="auto"/>
                <w:sz w:val="20"/>
              </w:rPr>
              <w:t xml:space="preserve">aktionen </w:t>
            </w:r>
            <w:r>
              <w:rPr>
                <w:rFonts w:asciiTheme="majorHAnsi" w:hAnsiTheme="majorHAnsi"/>
                <w:b w:val="0"/>
                <w:color w:val="auto"/>
                <w:sz w:val="20"/>
              </w:rPr>
              <w:t xml:space="preserve">wird das </w:t>
            </w:r>
            <w:proofErr w:type="spellStart"/>
            <w:r>
              <w:rPr>
                <w:rFonts w:asciiTheme="majorHAnsi" w:hAnsiTheme="majorHAnsi"/>
                <w:b w:val="0"/>
                <w:color w:val="auto"/>
                <w:sz w:val="20"/>
              </w:rPr>
              <w:t>Redoxpotenzial</w:t>
            </w:r>
            <w:proofErr w:type="spellEnd"/>
            <w:r>
              <w:rPr>
                <w:rFonts w:asciiTheme="majorHAnsi" w:hAnsiTheme="majorHAnsi"/>
                <w:b w:val="0"/>
                <w:color w:val="auto"/>
                <w:sz w:val="20"/>
              </w:rPr>
              <w:t xml:space="preserve"> erst durch Anlegen einer äußeren Spannung erreicht. </w:t>
            </w:r>
          </w:p>
        </w:tc>
        <w:tc>
          <w:tcPr>
            <w:tcW w:w="4506" w:type="dxa"/>
            <w:hideMark/>
          </w:tcPr>
          <w:p w:rsidR="007A7213" w:rsidRPr="003E3F96" w:rsidRDefault="007A7213" w:rsidP="00C27408">
            <w:pPr>
              <w:spacing w:line="276" w:lineRule="auto"/>
              <w:ind w:left="1134" w:hanging="1134"/>
              <w:jc w:val="center"/>
              <w:cnfStyle w:val="000000100000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7A7213" w:rsidRDefault="007A7213" w:rsidP="007A7213">
      <w:pPr>
        <w:spacing w:after="0" w:line="276" w:lineRule="auto"/>
        <w:ind w:left="1134" w:hanging="1134"/>
        <w:rPr>
          <w:color w:val="auto"/>
        </w:rPr>
      </w:pPr>
    </w:p>
    <w:p w:rsidR="007A7213" w:rsidRDefault="007A7213" w:rsidP="007A7213">
      <w:pPr>
        <w:spacing w:after="0"/>
        <w:rPr>
          <w:color w:val="auto"/>
        </w:rPr>
      </w:pPr>
      <w:r>
        <w:rPr>
          <w:color w:val="auto"/>
        </w:rPr>
        <w:t>Das Elektrolyseverfahren bietet allgemein einige Vorteile gegenüber anderen Herstellungsve</w:t>
      </w:r>
      <w:r>
        <w:rPr>
          <w:color w:val="auto"/>
        </w:rPr>
        <w:t>r</w:t>
      </w:r>
      <w:r>
        <w:rPr>
          <w:color w:val="auto"/>
        </w:rPr>
        <w:t>fahren. Zum einen entsteht weniger Abfall, da weder Reduktions- noch Oxidationsmittel für das Gelingen der Reaktion eingesetzt werden müssen. Durch das Fehlen der Reduktions- bzw. Oxid</w:t>
      </w:r>
      <w:r>
        <w:rPr>
          <w:color w:val="auto"/>
        </w:rPr>
        <w:t>a</w:t>
      </w:r>
      <w:r>
        <w:rPr>
          <w:color w:val="auto"/>
        </w:rPr>
        <w:t>tionsmittel verbessert sich die Energiebilanz der Elektrolyse, da diese nicht extra erzeugt we</w:t>
      </w:r>
      <w:r>
        <w:rPr>
          <w:color w:val="auto"/>
        </w:rPr>
        <w:t>r</w:t>
      </w:r>
      <w:r>
        <w:rPr>
          <w:color w:val="auto"/>
        </w:rPr>
        <w:t xml:space="preserve">den müssen und ihre Entsorgung, teilweise durch aufwendige Abtrennverfahren ermöglicht, nicht finanziert werden muss. Die Elektrolyse ist über das Einstellen von Strom und Spannung gut automatisierbar. Allgemein werden viele </w:t>
      </w:r>
      <w:proofErr w:type="gramStart"/>
      <w:r>
        <w:rPr>
          <w:color w:val="auto"/>
        </w:rPr>
        <w:t>Redoxreaktion</w:t>
      </w:r>
      <w:proofErr w:type="gramEnd"/>
      <w:r>
        <w:rPr>
          <w:color w:val="auto"/>
        </w:rPr>
        <w:t xml:space="preserve"> durch das elektrolytische Verfahren erst möglich, da keine genügend starken </w:t>
      </w:r>
      <w:proofErr w:type="spellStart"/>
      <w:r>
        <w:rPr>
          <w:color w:val="auto"/>
        </w:rPr>
        <w:t>Redoxmittel</w:t>
      </w:r>
      <w:proofErr w:type="spellEnd"/>
      <w:r>
        <w:rPr>
          <w:color w:val="auto"/>
        </w:rPr>
        <w:t xml:space="preserve"> existieren. Dem gegenüber steht einerseits der hohe Stromverbrauch, der durch die Elektrolyse anfällt. Allerdings könnte der Strom aus regenerativen Energiequellen gewonnen werden, was die Bilanz verbessern würde. Andere</w:t>
      </w:r>
      <w:r>
        <w:rPr>
          <w:color w:val="auto"/>
        </w:rPr>
        <w:t>r</w:t>
      </w:r>
      <w:r>
        <w:rPr>
          <w:color w:val="auto"/>
        </w:rPr>
        <w:t>seits ist der Bau der Anlagen sehr kostenintensiv. Soweit nicht inerte Elektroden verwendet werden, müssen auch die Elektroden in regelmäßigen Abständen erneuert werden.</w:t>
      </w:r>
    </w:p>
    <w:p w:rsidR="007A7213" w:rsidRDefault="007A7213" w:rsidP="007A7213">
      <w:pPr>
        <w:rPr>
          <w:color w:val="auto"/>
        </w:rPr>
      </w:pPr>
    </w:p>
    <w:p w:rsidR="007A7213" w:rsidRDefault="007A7213" w:rsidP="007A7213">
      <w:pPr>
        <w:spacing w:line="276" w:lineRule="auto"/>
        <w:rPr>
          <w:color w:val="auto"/>
        </w:rPr>
      </w:pPr>
    </w:p>
    <w:p w:rsidR="007A7213" w:rsidRPr="00D37DBF" w:rsidRDefault="007A7213" w:rsidP="007A7213">
      <w:pPr>
        <w:spacing w:line="276" w:lineRule="auto"/>
      </w:pP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6F" w:rsidRPr="00C744E8" w:rsidRDefault="008231A6" w:rsidP="00C744E8">
    <w:pPr>
      <w:pStyle w:val="Kopfzeile"/>
      <w:rPr>
        <w:szCs w:val="20"/>
      </w:rPr>
    </w:pPr>
    <w:r w:rsidRPr="002133F0">
      <w:rPr>
        <w:noProof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35pt;margin-top:16.35pt;width:462pt;height:.05pt;flip:x;z-index:251660288" o:connectortype="straight"/>
      </w:pict>
    </w:r>
    <w:r>
      <w:t>Thema: Großtechnische Elektrolyseverfahren – Klasse 11 &amp; 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CE550B3"/>
    <w:multiLevelType w:val="hybridMultilevel"/>
    <w:tmpl w:val="6AC0A392"/>
    <w:lvl w:ilvl="0" w:tplc="C6EE3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EA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49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F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6A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EE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A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0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compat/>
  <w:rsids>
    <w:rsidRoot w:val="007A7213"/>
    <w:rsid w:val="00022321"/>
    <w:rsid w:val="0007412D"/>
    <w:rsid w:val="002D0FD0"/>
    <w:rsid w:val="004965DA"/>
    <w:rsid w:val="004A0535"/>
    <w:rsid w:val="007A7213"/>
    <w:rsid w:val="008231A6"/>
    <w:rsid w:val="0087773D"/>
    <w:rsid w:val="009D3E5B"/>
    <w:rsid w:val="00B6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21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721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72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721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721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721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721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721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721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721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721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721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721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72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72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72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72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72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72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A7213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213"/>
    <w:rPr>
      <w:rFonts w:ascii="Cambria" w:hAnsi="Cambria"/>
      <w:color w:val="1D1B11" w:themeColor="background2" w:themeShade="1A"/>
    </w:rPr>
  </w:style>
  <w:style w:type="table" w:customStyle="1" w:styleId="HelleListe-Akzent11">
    <w:name w:val="Helle Liste - Akzent 11"/>
    <w:basedOn w:val="NormaleTabelle"/>
    <w:uiPriority w:val="61"/>
    <w:rsid w:val="007A7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21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2015-08-26T13:22:00Z</dcterms:created>
  <dcterms:modified xsi:type="dcterms:W3CDTF">2015-08-26T13:23:00Z</dcterms:modified>
</cp:coreProperties>
</file>