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10" w:rsidRPr="00B43FD5" w:rsidRDefault="00571510" w:rsidP="00571510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bookmarkStart w:id="0" w:name="_Toc458247458"/>
      <w:r w:rsidRPr="0075307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33" type="#_x0000_t202" style="position:absolute;left:0;text-align:left;margin-left:-.05pt;margin-top:49.9pt;width:462.45pt;height:63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Sy8AIAADMGAAAOAAAAZHJzL2Uyb0RvYy54bWysVG1v2jAQ/j5p/8Hyd5qEBEKjhgooTJO6&#10;F6md9tnYDrHm2JltSNpp/31np1C2ftg0FaTI55fn7rm7566u+0aiAzdWaFXi5CLGiCuqmVC7En+5&#10;34xmGFlHFCNSK17iB27x9fztm6uuLfhY11oybhCAKFt0bYlr59oiiiyteUPshW65gsNKm4Y4MM0u&#10;YoZ0gN7IaBzH06jThrVGU24t7N4Mh3ge8KuKU/epqix3SJYYYnPha8J367/R/IoUO0PaWtCnMMh/&#10;RNEQocDpCeqGOIL2RryAagQ12urKXVDdRLqqBOWBA7BJ4j/Y3NWk5YELJMe2pzTZ14OlHw+fDRKs&#10;xOMUI0UaqNE97x1a6h4lWeoT1LW2gHt3Ldx0PRxAoQNZ295q+s0ipVc1UTu+MEZ3NScMAkz8y+js&#10;6YBjPci2+6AZOCJ7pwNQX5nGZw/ygQAdCvVwKo4PhsLmZJanSTLBiMLZLE7SPFQvIsXxdWuse8d1&#10;g/yixAaKH9DJ4dY6Hw0pjle8M6ulYBshZTB8w/GVNOhAoFWkGxjKfQOhDntJ7H9Dx8A+9NWwfwwj&#10;9KyHCJ5+Q5cKdZCScQ7v/+aaUMqVm4R7r+Tes74hth7iZbAaWDTCgfikaHxCn8n5Cq4VC9JwRMhh&#10;DdmTygfPg6yGlILVO1iGfShUaPkfi80kzrN0NsrzSTrK0nU8Ws42q9FilUyn+Xq5Wq6Tn55gkhW1&#10;YIyrdcC0RwUm2b91+NMsGLRz0uApQB+V3gPHu5p1iAnfFenkcpxgMGAI+HrADyMidzC9qDMYGe2+&#10;ClcH6fke9BjW7Lan1phN/T909xl6qPmZ4+gFt+FGD6mCTB6zFgTiNTGow/XbPohx5vG9eLaaPYBi&#10;IKogC5i0sKi1ecSog6lVYvt9TwzHSL5XoLrLJMv8mAtGNsnHYJjzk+35CVEUoErsIANhuXLDaNy3&#10;Ruxq8DSoQOkFKLUSQUTPUQETb8BkCpyepqgffed2uPU86+e/AAAA//8DAFBLAwQUAAYACAAAACEA&#10;YpOxHt0AAAAIAQAADwAAAGRycy9kb3ducmV2LnhtbEyPQU+DQBCF7yb+h82YeGsXiFZAlsY08aDV&#10;g6j3KTsFIrtL2C1gf73jSY+T9+XN94rtYnox0eg7ZxXE6wgE2drpzjYKPt4fVykIH9Bq7J0lBd/k&#10;YVteXhSYazfbN5qq0AgusT5HBW0IQy6lr1sy6NduIMvZ0Y0GA59jI/WIM5ebXiZRtJEGO8sfWhxo&#10;11L9VZ2Mgt1zep7NLeJ++jwO1cvT/hy93il1fbU83IMItIQ/GH71WR1Kdjq4k9Ve9ApWMYMKNkkG&#10;guMsueElB+bSLAZZFvL/gPIHAAD//wMAUEsBAi0AFAAGAAgAAAAhALaDOJL+AAAA4QEAABMAAAAA&#10;AAAAAAAAAAAAAAAAAFtDb250ZW50X1R5cGVzXS54bWxQSwECLQAUAAYACAAAACEAOP0h/9YAAACU&#10;AQAACwAAAAAAAAAAAAAAAAAvAQAAX3JlbHMvLnJlbHNQSwECLQAUAAYACAAAACEA2tRksvACAAAz&#10;BgAADgAAAAAAAAAAAAAAAAAuAgAAZHJzL2Uyb0RvYy54bWxQSwECLQAUAAYACAAAACEAYpOxHt0A&#10;AAAIAQAADwAAAAAAAAAAAAAAAABKBQAAZHJzL2Rvd25yZXYueG1sUEsFBgAAAAAEAAQA8wAAAFQG&#10;AAAAAA==&#10;" fillcolor="white [3201]" strokecolor="#4bacc6 [3208]" strokeweight="1pt">
            <v:stroke dashstyle="dash"/>
            <v:shadow color="#868686"/>
            <v:textbox>
              <w:txbxContent>
                <w:p w:rsidR="00571510" w:rsidRPr="00F31EBF" w:rsidRDefault="00571510" w:rsidP="0057151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zeigt einen Fluoreszenznachweis von Vitamin B</w:t>
                  </w:r>
                  <w:r w:rsidRPr="00BD4058">
                    <w:rPr>
                      <w:color w:val="auto"/>
                      <w:vertAlign w:val="subscript"/>
                    </w:rPr>
                    <w:t>1</w:t>
                  </w:r>
                  <w:r>
                    <w:rPr>
                      <w:color w:val="auto"/>
                    </w:rPr>
                    <w:t>. Vitamin B</w:t>
                  </w:r>
                  <w:r w:rsidRPr="002B3990">
                    <w:rPr>
                      <w:color w:val="auto"/>
                      <w:vertAlign w:val="subscript"/>
                    </w:rPr>
                    <w:t>1</w:t>
                  </w:r>
                  <w:r>
                    <w:rPr>
                      <w:color w:val="auto"/>
                    </w:rPr>
                    <w:t xml:space="preserve"> wird zunächst in </w:t>
                  </w:r>
                  <w:proofErr w:type="spellStart"/>
                  <w:r>
                    <w:rPr>
                      <w:color w:val="auto"/>
                    </w:rPr>
                    <w:t>Thiochrom</w:t>
                  </w:r>
                  <w:proofErr w:type="spellEnd"/>
                  <w:r>
                    <w:rPr>
                      <w:color w:val="auto"/>
                    </w:rPr>
                    <w:t xml:space="preserve"> überführt bevor es fluoresziert. Bei </w:t>
                  </w:r>
                  <w:proofErr w:type="spellStart"/>
                  <w:r>
                    <w:rPr>
                      <w:color w:val="auto"/>
                    </w:rPr>
                    <w:t>Thiochrom</w:t>
                  </w:r>
                  <w:proofErr w:type="spellEnd"/>
                  <w:r>
                    <w:rPr>
                      <w:color w:val="auto"/>
                    </w:rPr>
                    <w:t xml:space="preserve"> werden R und S Sätze angegeben, da nach keine H und P Sätze gefunden werden konnten.</w:t>
                  </w:r>
                </w:p>
              </w:txbxContent>
            </v:textbox>
            <w10:wrap type="square"/>
          </v:shape>
        </w:pict>
      </w:r>
      <w:r w:rsidRPr="00CC307A">
        <w:rPr>
          <w:color w:val="auto"/>
        </w:rPr>
        <w:t>V</w:t>
      </w:r>
      <w:r>
        <w:rPr>
          <w:color w:val="auto"/>
        </w:rPr>
        <w:t>4</w:t>
      </w:r>
      <w:r w:rsidRPr="00CC307A">
        <w:rPr>
          <w:color w:val="auto"/>
        </w:rPr>
        <w:t xml:space="preserve"> – </w:t>
      </w:r>
      <w:r>
        <w:rPr>
          <w:color w:val="auto"/>
        </w:rPr>
        <w:t>Fluoreszenznachweis von Vitamin B</w:t>
      </w:r>
      <w:r w:rsidRPr="00BD4058">
        <w:rPr>
          <w:color w:val="auto"/>
          <w:vertAlign w:val="subscript"/>
        </w:rPr>
        <w:t>1</w:t>
      </w:r>
      <w:bookmarkEnd w:id="0"/>
    </w:p>
    <w:p w:rsidR="00571510" w:rsidRDefault="00571510" w:rsidP="00571510">
      <w:pPr>
        <w:pStyle w:val="berschrift2"/>
        <w:numPr>
          <w:ilvl w:val="0"/>
          <w:numId w:val="0"/>
        </w:numPr>
      </w:pPr>
    </w:p>
    <w:tbl>
      <w:tblPr>
        <w:tblW w:w="932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71510" w:rsidRPr="009C5E28" w:rsidTr="00A26833">
        <w:trPr>
          <w:jc w:val="center"/>
        </w:trPr>
        <w:tc>
          <w:tcPr>
            <w:tcW w:w="9322" w:type="dxa"/>
            <w:gridSpan w:val="9"/>
            <w:tcBorders>
              <w:bottom w:val="nil"/>
            </w:tcBorders>
            <w:shd w:val="clear" w:color="auto" w:fill="4F81BD"/>
            <w:vAlign w:val="center"/>
          </w:tcPr>
          <w:p w:rsidR="00571510" w:rsidRPr="00F31EBF" w:rsidRDefault="00571510" w:rsidP="00A2683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71510" w:rsidRPr="009C5E28" w:rsidTr="00A26833">
        <w:tblPrEx>
          <w:jc w:val="left"/>
        </w:tblPrEx>
        <w:trPr>
          <w:trHeight w:val="434"/>
        </w:trPr>
        <w:tc>
          <w:tcPr>
            <w:tcW w:w="3027" w:type="dxa"/>
            <w:gridSpan w:val="3"/>
            <w:tcBorders>
              <w:top w:val="nil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Pr="00C7474D" w:rsidRDefault="00571510" w:rsidP="00A26833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 w:rsidRPr="00C7474D">
              <w:rPr>
                <w:color w:val="auto"/>
                <w:sz w:val="20"/>
                <w:szCs w:val="20"/>
              </w:rPr>
              <w:t>Thiochrom</w:t>
            </w:r>
            <w:proofErr w:type="spellEnd"/>
          </w:p>
        </w:tc>
        <w:tc>
          <w:tcPr>
            <w:tcW w:w="3177" w:type="dxa"/>
            <w:gridSpan w:val="3"/>
            <w:tcBorders>
              <w:top w:val="nil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Pr="00C7474D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 w:rsidRPr="00C7474D">
              <w:rPr>
                <w:sz w:val="20"/>
              </w:rPr>
              <w:t>R: 36, 37, 38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 w:rsidRPr="00C7474D">
              <w:rPr>
                <w:sz w:val="20"/>
              </w:rPr>
              <w:t>S: 26-36</w:t>
            </w:r>
          </w:p>
        </w:tc>
      </w:tr>
      <w:tr w:rsidR="00571510" w:rsidRPr="009C5E28" w:rsidTr="00A26833">
        <w:tblPrEx>
          <w:jc w:val="left"/>
        </w:tblPrEx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Butanol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226, 302, 318, 315, 335, 336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280, 302+352, 305+351+338, 313</w:t>
            </w:r>
          </w:p>
        </w:tc>
      </w:tr>
      <w:tr w:rsidR="00571510" w:rsidRPr="009C5E28" w:rsidTr="00A26833">
        <w:tblPrEx>
          <w:jc w:val="left"/>
        </w:tblPrEx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Pr="00605F82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proofErr w:type="spellStart"/>
            <w:r w:rsidRPr="00605F82">
              <w:rPr>
                <w:sz w:val="20"/>
              </w:rPr>
              <w:t>Kaliumhexacynoferrat</w:t>
            </w:r>
            <w:proofErr w:type="spellEnd"/>
            <w:r w:rsidRPr="00605F82">
              <w:rPr>
                <w:sz w:val="20"/>
              </w:rPr>
              <w:t>(III)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1510" w:rsidRPr="009C5E28" w:rsidTr="00A26833">
        <w:tblPrEx>
          <w:jc w:val="left"/>
        </w:tblPrEx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Natronlauge (w = 10%)</w:t>
            </w:r>
          </w:p>
        </w:tc>
        <w:tc>
          <w:tcPr>
            <w:tcW w:w="3177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314, 290</w:t>
            </w:r>
          </w:p>
        </w:tc>
        <w:tc>
          <w:tcPr>
            <w:tcW w:w="3118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71510" w:rsidRDefault="00571510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280, 301+330+331, 305+351+338, 308+310</w:t>
            </w:r>
          </w:p>
        </w:tc>
      </w:tr>
      <w:tr w:rsidR="00571510" w:rsidRPr="009C5E28" w:rsidTr="00A26833">
        <w:trPr>
          <w:jc w:val="center"/>
        </w:trPr>
        <w:tc>
          <w:tcPr>
            <w:tcW w:w="1009" w:type="dxa"/>
            <w:tcBorders>
              <w:top w:val="single" w:sz="4" w:space="0" w:color="4F81BD" w:themeColor="accent1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6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4F81BD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4F81BD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7434" cy="497434"/>
                  <wp:effectExtent l="19050" t="0" r="0" b="0"/>
                  <wp:docPr id="58" name="Bild 4" descr="C:\Users\User\Desktop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27" cy="50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4F81BD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4" w:space="0" w:color="4F81BD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4F81BD" w:themeColor="accent1"/>
              <w:bottom w:val="single" w:sz="8" w:space="0" w:color="4F81BD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694" cy="526694"/>
                  <wp:effectExtent l="0" t="0" r="6706" b="0"/>
                  <wp:docPr id="61" name="Bild 21" descr="C:\Users\User\Desktop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61" cy="52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4F81BD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3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1510" w:rsidRPr="009C5E28" w:rsidRDefault="00571510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4960" cy="514960"/>
                  <wp:effectExtent l="19050" t="0" r="0" b="0"/>
                  <wp:docPr id="64" name="Bild 20" descr="C:\Users\User\Deskto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01" cy="51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510" w:rsidRDefault="00571510" w:rsidP="00571510">
      <w:pPr>
        <w:tabs>
          <w:tab w:val="left" w:pos="1701"/>
          <w:tab w:val="left" w:pos="1985"/>
        </w:tabs>
        <w:ind w:left="1980" w:hanging="1980"/>
      </w:pPr>
    </w:p>
    <w:p w:rsidR="00571510" w:rsidRDefault="00571510" w:rsidP="00571510">
      <w:pPr>
        <w:tabs>
          <w:tab w:val="left" w:pos="1701"/>
          <w:tab w:val="left" w:pos="1985"/>
        </w:tabs>
        <w:ind w:left="1980" w:hanging="1980"/>
        <w:jc w:val="left"/>
      </w:pPr>
      <w:r>
        <w:t xml:space="preserve">Materialien: </w:t>
      </w:r>
      <w:r>
        <w:tab/>
      </w:r>
      <w:r>
        <w:tab/>
        <w:t>UV-Lampe, Reagenzglasständer, Reagenzglas, Pipette, Becherglas</w:t>
      </w:r>
    </w:p>
    <w:p w:rsidR="00571510" w:rsidRPr="00ED07C2" w:rsidRDefault="00571510" w:rsidP="0057151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Aneurin-Tablette, Butanol </w:t>
      </w:r>
    </w:p>
    <w:p w:rsidR="00571510" w:rsidRDefault="00571510" w:rsidP="0057151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Aneurin-Tablette wird in 100 </w:t>
      </w:r>
      <w:proofErr w:type="spellStart"/>
      <w:r>
        <w:t>mL</w:t>
      </w:r>
      <w:proofErr w:type="spellEnd"/>
      <w:r>
        <w:t xml:space="preserve"> Wasser in einem Becherglas aufg</w:t>
      </w:r>
      <w:r>
        <w:t>e</w:t>
      </w:r>
      <w:r>
        <w:t>löst. In ein Reagenzglas werden 5 </w:t>
      </w:r>
      <w:proofErr w:type="spellStart"/>
      <w:r>
        <w:t>mL</w:t>
      </w:r>
      <w:proofErr w:type="spellEnd"/>
      <w:r>
        <w:t xml:space="preserve"> Natronlauge gefüllt. Dazu werden e</w:t>
      </w:r>
      <w:r>
        <w:t>i</w:t>
      </w:r>
      <w:r>
        <w:t xml:space="preserve">nige Tropfen 1%iger </w:t>
      </w:r>
      <w:proofErr w:type="spellStart"/>
      <w:r>
        <w:t>Kaliumhexacyanoferrat</w:t>
      </w:r>
      <w:proofErr w:type="spellEnd"/>
      <w:r>
        <w:t>(III)-Lösung getropft. A</w:t>
      </w:r>
      <w:r>
        <w:t>n</w:t>
      </w:r>
      <w:r>
        <w:t>schließend wird die Lösung mit einigen Tropfen der Vitamin B</w:t>
      </w:r>
      <w:r w:rsidRPr="00902331">
        <w:rPr>
          <w:vertAlign w:val="subscript"/>
        </w:rPr>
        <w:t>1</w:t>
      </w:r>
      <w:r>
        <w:t>-Lösung versetzt und mit UV-Licht beleuchtet.</w:t>
      </w:r>
    </w:p>
    <w:p w:rsidR="00571510" w:rsidRPr="005E7DA1" w:rsidRDefault="00571510" w:rsidP="0057151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  <w:t>Um den Effekt zu intensivieren, wird die Lösung mit einigen Millilitern Butanol versetzt. Danach wird das Reagenzglas mit einem Stopfen verschlo</w:t>
      </w:r>
      <w:r>
        <w:t>s</w:t>
      </w:r>
      <w:r>
        <w:t>sen und geschüttelt.</w:t>
      </w:r>
    </w:p>
    <w:p w:rsidR="00571510" w:rsidRDefault="00571510" w:rsidP="0057151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Nach Bestrahlung mit der UV-Lampe leuchtet die Lösung hellblau. Nach dem Schütteln mit Butanol hat sich das blaue Leuchten oberhalb des But</w:t>
      </w:r>
      <w:r>
        <w:t>a</w:t>
      </w:r>
      <w:r>
        <w:t>nols intensiviert.</w:t>
      </w:r>
    </w:p>
    <w:p w:rsidR="00571510" w:rsidRDefault="00571510" w:rsidP="0057151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847725" cy="2633359"/>
            <wp:effectExtent l="19050" t="0" r="9525" b="0"/>
            <wp:docPr id="2" name="Bild 12" descr="C:\Users\User\Desktop\Fluoreszierende organische Verbindungen Sek II\Fotos\13872332_10206717299831403_357427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Fluoreszierende organische Verbindungen Sek II\Fotos\13872332_10206717299831403_357427352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222" t="32396" r="11667" b="2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3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10" w:rsidRDefault="00571510" w:rsidP="00571510">
      <w:pPr>
        <w:pStyle w:val="Beschriftung"/>
        <w:jc w:val="center"/>
      </w:pPr>
      <w:r>
        <w:t xml:space="preserve">Abb. </w:t>
      </w:r>
      <w:fldSimple w:instr=" SEQ Abb. \* ARABIC ">
        <w:r>
          <w:rPr>
            <w:noProof/>
          </w:rPr>
          <w:t>4</w:t>
        </w:r>
      </w:fldSimple>
      <w:r>
        <w:t xml:space="preserve"> -</w:t>
      </w:r>
      <w:r>
        <w:rPr>
          <w:noProof/>
        </w:rPr>
        <w:t xml:space="preserve"> Fluoreszenz Thiochrom</w:t>
      </w:r>
    </w:p>
    <w:p w:rsidR="00571510" w:rsidRDefault="00571510" w:rsidP="00571510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Das Vitamin B</w:t>
      </w:r>
      <w:r w:rsidRPr="00605F82">
        <w:rPr>
          <w:vertAlign w:val="subscript"/>
        </w:rPr>
        <w:t>1</w:t>
      </w:r>
      <w:r>
        <w:t xml:space="preserve"> wird im alkalischen Milieu durch </w:t>
      </w:r>
      <w:proofErr w:type="spellStart"/>
      <w:r>
        <w:t>Kaliumhexacyanoferrat</w:t>
      </w:r>
      <w:proofErr w:type="spellEnd"/>
      <w:r>
        <w:t xml:space="preserve">(III)-Lösung zu </w:t>
      </w:r>
      <w:proofErr w:type="spellStart"/>
      <w:r>
        <w:t>Thiochrom</w:t>
      </w:r>
      <w:proofErr w:type="spellEnd"/>
      <w:r>
        <w:t xml:space="preserve"> oxidiert. </w:t>
      </w:r>
    </w:p>
    <w:p w:rsidR="00571510" w:rsidRDefault="00571510" w:rsidP="00571510">
      <w:pPr>
        <w:tabs>
          <w:tab w:val="left" w:pos="1701"/>
          <w:tab w:val="left" w:pos="1985"/>
        </w:tabs>
        <w:ind w:left="1985" w:hanging="1985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106045</wp:posOffset>
            </wp:positionV>
            <wp:extent cx="1809750" cy="1050925"/>
            <wp:effectExtent l="0" t="0" r="0" b="0"/>
            <wp:wrapSquare wrapText="bothSides"/>
            <wp:docPr id="1" name="Grafik 1" descr="Thiam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iamin.sv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170180</wp:posOffset>
            </wp:positionV>
            <wp:extent cx="1970405" cy="862965"/>
            <wp:effectExtent l="0" t="0" r="0" b="0"/>
            <wp:wrapSquare wrapText="bothSides"/>
            <wp:docPr id="65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7703" t="33183" r="47954" b="4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510" w:rsidRDefault="00571510" w:rsidP="00571510">
      <w:pPr>
        <w:tabs>
          <w:tab w:val="left" w:pos="1701"/>
          <w:tab w:val="left" w:pos="1985"/>
        </w:tabs>
        <w:ind w:left="1985" w:hanging="1985"/>
        <w:jc w:val="center"/>
      </w:pPr>
    </w:p>
    <w:p w:rsidR="00571510" w:rsidRDefault="00571510" w:rsidP="00571510">
      <w:pPr>
        <w:tabs>
          <w:tab w:val="left" w:pos="1701"/>
          <w:tab w:val="left" w:pos="1985"/>
        </w:tabs>
        <w:ind w:left="1985" w:hanging="1985"/>
        <w:jc w:val="center"/>
      </w:pPr>
      <w:r w:rsidRPr="00753079">
        <w:rPr>
          <w:noProof/>
          <w:lang w:val="en-US"/>
        </w:rPr>
        <w:pict>
          <v:shape id="Text Box 144" o:spid="_x0000_s1034" type="#_x0000_t202" style="position:absolute;left:0;text-align:left;margin-left:61.9pt;margin-top:26.9pt;width:309.75pt;height:2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kafwIAAAkFAAAOAAAAZHJzL2Uyb0RvYy54bWysVFtv2yAUfp+0/4B4T32pk8ZWnapJ52lS&#10;d5Ha/QCCcYyGgQGJ3VX77zvgOG13kaZpfsAHOOc7t+9weTV0Ah2YsVzJEidnMUZMUlVzuSvx5/tq&#10;tsTIOiJrIpRkJX5gFl+tXr+67HXBUtUqUTODAETaotclbp3TRRRZ2rKO2DOlmYTLRpmOONiaXVQb&#10;0gN6J6I0jhdRr0ytjaLMWji9GS/xKuA3DaPuY9NY5pAoMcTmwmrCuvVrtLokxc4Q3XJ6DIP8QxQd&#10;4RKcnqBuiCNob/gvUB2nRlnVuDOqukg1Dacs5ADZJPFP2dy1RLOQCxTH6lOZ7P+DpR8OnwzidYnT&#10;FCNJOujRPRscWqsBJVnmC9RrW4DenQZNN8AFNDoka/Wtol8skmrTErlj18aovmWkhgATbxk9Mx1x&#10;rAfZ9u9VDY7I3qkANDSm89WDeiBAh0Y9nJrjg6FweJ6fny/TOUYU7tJFnC/nwQUpJmttrHvLVIe8&#10;UGIDzQ/o5HBrnY+GFJOKd2aV4HXFhQgbs9tuhEEHAkSpwndEf6EmpFeWypuNiOMJBAk+/J0PNzT+&#10;MU/SLF6n+axaLC9mWZXNZ/lFvJzFSb7OF3GWZzfVdx9gkhUtr2smb7lkEwmT7O+afByHkT6Bhqgv&#10;cT6HSoW8/phkHL7fJdlxBzMpeFfi5UmJFL6xb2QNaZPCES5GOXoZfqgy1GD6h6oEGvjOjxxww3YI&#10;lMu9d0+RraofgBdGQdug+fCegNAq8w2jHmazxPbrnhiGkXgngVt+kCfBTMJ2EoikYFpih9Eobtw4&#10;8Htt+K4F5Im918C/igdqPEVxZC3MW8jh+Db4gX6+D1pPL9jqBwAAAP//AwBQSwMEFAAGAAgAAAAh&#10;AFOP2GjgAAAACQEAAA8AAABkcnMvZG93bnJldi54bWxMj8FOwzAQRO9I/IO1SFwQdWhCoSFOVVVw&#10;gEtF6IWbG2/jQLyOYqcNf8/2BKfRaEazb4vV5DpxxCG0nhTczRIQSLU3LTUKdh8vt48gQtRkdOcJ&#10;FfxggFV5eVHo3PgTveOxio3gEQq5VmBj7HMpQ23R6TDzPRJnBz84HdkOjTSDPvG46+Q8SRbS6Zb4&#10;gtU9bizW39XoFGyzz629GQ/Pb+ssHV5342bx1VRKXV9N6ycQEaf4V4YzPqNDyUx7P5IJomM/Txk9&#10;Krg/KxcesjQFsVewzJYgy0L+/6D8BQAA//8DAFBLAQItABQABgAIAAAAIQC2gziS/gAAAOEBAAAT&#10;AAAAAAAAAAAAAAAAAAAAAABbQ29udGVudF9UeXBlc10ueG1sUEsBAi0AFAAGAAgAAAAhADj9If/W&#10;AAAAlAEAAAsAAAAAAAAAAAAAAAAALwEAAF9yZWxzLy5yZWxzUEsBAi0AFAAGAAgAAAAhAP75GRp/&#10;AgAACQUAAA4AAAAAAAAAAAAAAAAALgIAAGRycy9lMm9Eb2MueG1sUEsBAi0AFAAGAAgAAAAhAFOP&#10;2GjgAAAACQEAAA8AAAAAAAAAAAAAAAAA2QQAAGRycy9kb3ducmV2LnhtbFBLBQYAAAAABAAEAPMA&#10;AADmBQAAAAA=&#10;" stroked="f">
            <v:textbox style="mso-fit-shape-to-text:t" inset="0,0,0,0">
              <w:txbxContent>
                <w:p w:rsidR="00571510" w:rsidRPr="004E0924" w:rsidRDefault="00571510" w:rsidP="00571510">
                  <w:pPr>
                    <w:pStyle w:val="Beschriftung"/>
                    <w:rPr>
                      <w:noProof/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: Strukturformel </w:t>
                  </w:r>
                  <w:proofErr w:type="spellStart"/>
                  <w:r>
                    <w:t>Thiochrom</w:t>
                  </w:r>
                  <w:proofErr w:type="spellEnd"/>
                  <w:r>
                    <w:t xml:space="preserve"> (links) und Vitamin B</w:t>
                  </w:r>
                  <w:r w:rsidRPr="00391519">
                    <w:rPr>
                      <w:vertAlign w:val="subscript"/>
                    </w:rPr>
                    <w:t>1</w:t>
                  </w:r>
                  <w:r>
                    <w:t xml:space="preserve"> (rechts)</w:t>
                  </w:r>
                </w:p>
              </w:txbxContent>
            </v:textbox>
            <w10:wrap type="square"/>
          </v:shape>
        </w:pict>
      </w:r>
    </w:p>
    <w:p w:rsidR="00571510" w:rsidRDefault="00571510" w:rsidP="00571510">
      <w:pPr>
        <w:tabs>
          <w:tab w:val="left" w:pos="1701"/>
          <w:tab w:val="left" w:pos="1985"/>
        </w:tabs>
        <w:ind w:left="1985" w:hanging="1985"/>
        <w:jc w:val="center"/>
      </w:pPr>
    </w:p>
    <w:p w:rsidR="00571510" w:rsidRDefault="00571510" w:rsidP="00571510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ab/>
      </w:r>
      <w:r>
        <w:tab/>
        <w:t xml:space="preserve">Durch die UV-Bestrahlung mittels einer UV-Lampe wird das </w:t>
      </w:r>
      <w:proofErr w:type="spellStart"/>
      <w:r>
        <w:t>Thiochrom</w:t>
      </w:r>
      <w:proofErr w:type="spellEnd"/>
      <w:r>
        <w:t xml:space="preserve"> elektronisch angeregt. Die angeregten Moleküle geben die Energie durch einen Rückfall der Elektronen in den Grundzustand wieder ab. Dieser Vo</w:t>
      </w:r>
      <w:r>
        <w:t>r</w:t>
      </w:r>
      <w:r>
        <w:t>gang erfolgt unter Emission von Licht. Die Lichtemission ist in Form einer Fluoreszenz sichtbar, die sofort erlischt, wenn die Anregungsquelle abg</w:t>
      </w:r>
      <w:r>
        <w:t>e</w:t>
      </w:r>
      <w:r>
        <w:t xml:space="preserve">schaltet wird. Im Butanol, das einen polaren und </w:t>
      </w:r>
      <w:proofErr w:type="spellStart"/>
      <w:r>
        <w:t>unpolaren</w:t>
      </w:r>
      <w:proofErr w:type="spellEnd"/>
      <w:r>
        <w:t xml:space="preserve"> Teil besitzt, löst sich das </w:t>
      </w:r>
      <w:proofErr w:type="spellStart"/>
      <w:r>
        <w:t>Thiochrom</w:t>
      </w:r>
      <w:proofErr w:type="spellEnd"/>
      <w:r>
        <w:t xml:space="preserve">, das sowohl einen </w:t>
      </w:r>
      <w:proofErr w:type="spellStart"/>
      <w:r>
        <w:t>unpolaren</w:t>
      </w:r>
      <w:proofErr w:type="spellEnd"/>
      <w:r>
        <w:t xml:space="preserve"> Teil sowie mit der Hydroxid-Gruppe einen polaren Teil besitzt, sodass das </w:t>
      </w:r>
      <w:proofErr w:type="spellStart"/>
      <w:r>
        <w:t>Thiochrom</w:t>
      </w:r>
      <w:proofErr w:type="spellEnd"/>
      <w:r>
        <w:t xml:space="preserve"> im B</w:t>
      </w:r>
      <w:r>
        <w:t>u</w:t>
      </w:r>
      <w:r>
        <w:t>tanol konzentriert wird, weshalb die Fluoreszenz dort intensiviert wird.</w:t>
      </w:r>
    </w:p>
    <w:p w:rsidR="00571510" w:rsidRDefault="00571510" w:rsidP="00571510">
      <w:pPr>
        <w:spacing w:line="276" w:lineRule="auto"/>
        <w:ind w:left="1985" w:hanging="1985"/>
        <w:jc w:val="left"/>
      </w:pPr>
      <w:r>
        <w:t>Entsorgung:</w:t>
      </w:r>
      <w:r>
        <w:tab/>
        <w:t xml:space="preserve">Das Gemisch kann in den Abfall für organische Lösungsmittel gegeben werden. </w:t>
      </w:r>
    </w:p>
    <w:p w:rsidR="00571510" w:rsidRPr="005B60E3" w:rsidRDefault="00571510" w:rsidP="00571510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</w:p>
    <w:p w:rsidR="00571510" w:rsidRDefault="00571510" w:rsidP="00571510">
      <w:pPr>
        <w:rPr>
          <w:rFonts w:asciiTheme="majorHAnsi" w:hAnsiTheme="majorHAnsi"/>
        </w:rPr>
      </w:pPr>
      <w:r w:rsidRPr="00B937A2">
        <w:rPr>
          <w:rFonts w:asciiTheme="majorHAnsi" w:hAnsiTheme="majorHAnsi"/>
        </w:rPr>
        <w:t>[</w:t>
      </w:r>
      <w:r>
        <w:rPr>
          <w:rFonts w:asciiTheme="majorHAnsi" w:hAnsiTheme="majorHAnsi"/>
        </w:rPr>
        <w:t>1</w:t>
      </w:r>
      <w:r w:rsidRPr="00B937A2">
        <w:rPr>
          <w:rFonts w:asciiTheme="majorHAnsi" w:hAnsiTheme="majorHAnsi"/>
        </w:rPr>
        <w:t xml:space="preserve">] </w:t>
      </w:r>
      <w:proofErr w:type="spellStart"/>
      <w:r>
        <w:rPr>
          <w:rFonts w:asciiTheme="majorHAnsi" w:hAnsiTheme="majorHAnsi"/>
        </w:rPr>
        <w:t>Bukatsch</w:t>
      </w:r>
      <w:proofErr w:type="spellEnd"/>
      <w:r>
        <w:rPr>
          <w:rFonts w:asciiTheme="majorHAnsi" w:hAnsiTheme="majorHAnsi"/>
        </w:rPr>
        <w:t xml:space="preserve">, F., Krätz, O., </w:t>
      </w:r>
      <w:proofErr w:type="spellStart"/>
      <w:r>
        <w:rPr>
          <w:rFonts w:asciiTheme="majorHAnsi" w:hAnsiTheme="majorHAnsi"/>
        </w:rPr>
        <w:t>Probeck</w:t>
      </w:r>
      <w:proofErr w:type="spellEnd"/>
      <w:r>
        <w:rPr>
          <w:rFonts w:asciiTheme="majorHAnsi" w:hAnsiTheme="majorHAnsi"/>
        </w:rPr>
        <w:t>, G.,</w:t>
      </w:r>
      <w:r w:rsidRPr="00B937A2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</w:t>
      </w:r>
      <w:proofErr w:type="spellEnd"/>
      <w:r>
        <w:rPr>
          <w:rFonts w:asciiTheme="majorHAnsi" w:hAnsiTheme="majorHAnsi"/>
        </w:rPr>
        <w:t xml:space="preserve"> interessant ist Chemie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Aulis</w:t>
      </w:r>
      <w:proofErr w:type="spellEnd"/>
      <w:r>
        <w:rPr>
          <w:rFonts w:asciiTheme="majorHAnsi" w:hAnsiTheme="majorHAnsi"/>
        </w:rPr>
        <w:t>-Verlag</w:t>
      </w:r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Auflage 1997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1997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141 f.</w:t>
      </w:r>
      <w:r w:rsidRPr="00B937A2">
        <w:rPr>
          <w:rFonts w:asciiTheme="majorHAnsi" w:hAnsiTheme="majorHAnsi"/>
        </w:rPr>
        <w:t xml:space="preserve"> </w:t>
      </w:r>
    </w:p>
    <w:p w:rsidR="00571510" w:rsidRDefault="00571510" w:rsidP="00571510">
      <w:r w:rsidRPr="00B937A2">
        <w:rPr>
          <w:rFonts w:asciiTheme="majorHAnsi" w:hAnsiTheme="majorHAnsi"/>
        </w:rPr>
        <w:lastRenderedPageBreak/>
        <w:t xml:space="preserve"> </w:t>
      </w:r>
      <w:r w:rsidRPr="00753079">
        <w:rPr>
          <w:noProof/>
          <w:lang w:val="en-US"/>
        </w:rPr>
      </w:r>
      <w:r w:rsidRPr="00753079">
        <w:rPr>
          <w:noProof/>
          <w:lang w:val="en-US"/>
        </w:rPr>
        <w:pict>
          <v:shape id="Text Box 149" o:spid="_x0000_s1032" type="#_x0000_t202" style="width:462.45pt;height:79.1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571510" w:rsidRPr="00607AAA" w:rsidRDefault="00571510" w:rsidP="0057151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kann im Rahmen der Thematisierung von Fluoreszenz eingesetzt werden. Im Folgenden könnte auf organische Verbindungen übergeleitet werden oder aber auf die Pho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phoreszenz. Die Fluoreszenz von Vitamin B2 kann davor oder danach erfolgen. Dieses fluore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ziert gelb.</w:t>
                  </w:r>
                </w:p>
              </w:txbxContent>
            </v:textbox>
            <w10:wrap type="none"/>
            <w10:anchorlock/>
          </v:shape>
        </w:pict>
      </w:r>
    </w:p>
    <w:p w:rsidR="00571510" w:rsidRDefault="00571510" w:rsidP="00571510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E61846" w:rsidRPr="00571510" w:rsidRDefault="00E61846" w:rsidP="00571510"/>
    <w:sectPr w:rsidR="00E61846" w:rsidRPr="00571510" w:rsidSect="00E618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FA1C66"/>
    <w:rsid w:val="00002B4A"/>
    <w:rsid w:val="00002D5B"/>
    <w:rsid w:val="00002F72"/>
    <w:rsid w:val="00006498"/>
    <w:rsid w:val="0001252D"/>
    <w:rsid w:val="00016723"/>
    <w:rsid w:val="000175B4"/>
    <w:rsid w:val="00017AD9"/>
    <w:rsid w:val="000253C7"/>
    <w:rsid w:val="00036E76"/>
    <w:rsid w:val="00040A31"/>
    <w:rsid w:val="000423FC"/>
    <w:rsid w:val="00042BBC"/>
    <w:rsid w:val="00042EDD"/>
    <w:rsid w:val="00045C03"/>
    <w:rsid w:val="00053D18"/>
    <w:rsid w:val="000543BA"/>
    <w:rsid w:val="00056D9C"/>
    <w:rsid w:val="000575AB"/>
    <w:rsid w:val="00057873"/>
    <w:rsid w:val="000606C5"/>
    <w:rsid w:val="00062B9A"/>
    <w:rsid w:val="00065DC9"/>
    <w:rsid w:val="00067FE3"/>
    <w:rsid w:val="00083E84"/>
    <w:rsid w:val="00093D84"/>
    <w:rsid w:val="000A0C1A"/>
    <w:rsid w:val="000A419F"/>
    <w:rsid w:val="000B6868"/>
    <w:rsid w:val="000D045D"/>
    <w:rsid w:val="000D1A3C"/>
    <w:rsid w:val="000D2FE8"/>
    <w:rsid w:val="000D74E5"/>
    <w:rsid w:val="000E04CE"/>
    <w:rsid w:val="000E1A0B"/>
    <w:rsid w:val="000E57C4"/>
    <w:rsid w:val="000E57D0"/>
    <w:rsid w:val="000F0C0C"/>
    <w:rsid w:val="0010075A"/>
    <w:rsid w:val="00100974"/>
    <w:rsid w:val="00104C7C"/>
    <w:rsid w:val="001248CD"/>
    <w:rsid w:val="00131A40"/>
    <w:rsid w:val="00134435"/>
    <w:rsid w:val="001344F3"/>
    <w:rsid w:val="00142C17"/>
    <w:rsid w:val="001454F7"/>
    <w:rsid w:val="001537FA"/>
    <w:rsid w:val="001640C0"/>
    <w:rsid w:val="001711CE"/>
    <w:rsid w:val="001725B5"/>
    <w:rsid w:val="00172D86"/>
    <w:rsid w:val="001818E5"/>
    <w:rsid w:val="001A17B4"/>
    <w:rsid w:val="001A5CBD"/>
    <w:rsid w:val="001B3161"/>
    <w:rsid w:val="001B31AC"/>
    <w:rsid w:val="001C3532"/>
    <w:rsid w:val="001C440A"/>
    <w:rsid w:val="001C4BD3"/>
    <w:rsid w:val="001D05F1"/>
    <w:rsid w:val="001D0815"/>
    <w:rsid w:val="001F0559"/>
    <w:rsid w:val="00202B6F"/>
    <w:rsid w:val="002054B9"/>
    <w:rsid w:val="002128A1"/>
    <w:rsid w:val="00220011"/>
    <w:rsid w:val="00221BD7"/>
    <w:rsid w:val="0022346E"/>
    <w:rsid w:val="002318D6"/>
    <w:rsid w:val="00233921"/>
    <w:rsid w:val="002414E8"/>
    <w:rsid w:val="00247CE0"/>
    <w:rsid w:val="00252240"/>
    <w:rsid w:val="002549AD"/>
    <w:rsid w:val="002603FA"/>
    <w:rsid w:val="00263856"/>
    <w:rsid w:val="00271FE5"/>
    <w:rsid w:val="00276DB2"/>
    <w:rsid w:val="00276ECB"/>
    <w:rsid w:val="00281CE1"/>
    <w:rsid w:val="00294913"/>
    <w:rsid w:val="00295594"/>
    <w:rsid w:val="002A2F8C"/>
    <w:rsid w:val="002A46D3"/>
    <w:rsid w:val="002B0899"/>
    <w:rsid w:val="002C1B21"/>
    <w:rsid w:val="002C452E"/>
    <w:rsid w:val="002D0D9D"/>
    <w:rsid w:val="002D2DF9"/>
    <w:rsid w:val="002D7C67"/>
    <w:rsid w:val="002E4FC6"/>
    <w:rsid w:val="002E7151"/>
    <w:rsid w:val="002F444C"/>
    <w:rsid w:val="0030214C"/>
    <w:rsid w:val="0030588E"/>
    <w:rsid w:val="00307DB3"/>
    <w:rsid w:val="003119E3"/>
    <w:rsid w:val="003138A8"/>
    <w:rsid w:val="003138AB"/>
    <w:rsid w:val="0031640D"/>
    <w:rsid w:val="00316787"/>
    <w:rsid w:val="003174BA"/>
    <w:rsid w:val="003177AD"/>
    <w:rsid w:val="00323BCD"/>
    <w:rsid w:val="0033283A"/>
    <w:rsid w:val="00333EA9"/>
    <w:rsid w:val="00356A4F"/>
    <w:rsid w:val="00362CEE"/>
    <w:rsid w:val="00377B6C"/>
    <w:rsid w:val="003814D8"/>
    <w:rsid w:val="003923CA"/>
    <w:rsid w:val="003A1205"/>
    <w:rsid w:val="003B5C8D"/>
    <w:rsid w:val="003B6141"/>
    <w:rsid w:val="003C1BDC"/>
    <w:rsid w:val="003C35D2"/>
    <w:rsid w:val="003C4E19"/>
    <w:rsid w:val="003C7669"/>
    <w:rsid w:val="003D29D2"/>
    <w:rsid w:val="003E5EFD"/>
    <w:rsid w:val="003E6680"/>
    <w:rsid w:val="003E66E5"/>
    <w:rsid w:val="003E6987"/>
    <w:rsid w:val="003F156B"/>
    <w:rsid w:val="003F514D"/>
    <w:rsid w:val="003F6F63"/>
    <w:rsid w:val="00400FF4"/>
    <w:rsid w:val="00404E21"/>
    <w:rsid w:val="00405BB8"/>
    <w:rsid w:val="0042183D"/>
    <w:rsid w:val="00426D5B"/>
    <w:rsid w:val="00431537"/>
    <w:rsid w:val="00433345"/>
    <w:rsid w:val="00434BF6"/>
    <w:rsid w:val="004350D6"/>
    <w:rsid w:val="004571F9"/>
    <w:rsid w:val="00457865"/>
    <w:rsid w:val="0046431B"/>
    <w:rsid w:val="00470A8C"/>
    <w:rsid w:val="004729AE"/>
    <w:rsid w:val="00477A05"/>
    <w:rsid w:val="00482269"/>
    <w:rsid w:val="00484BFA"/>
    <w:rsid w:val="004860F5"/>
    <w:rsid w:val="0049398F"/>
    <w:rsid w:val="00495F43"/>
    <w:rsid w:val="004A31B9"/>
    <w:rsid w:val="004B39F9"/>
    <w:rsid w:val="004B7660"/>
    <w:rsid w:val="004B7C7C"/>
    <w:rsid w:val="004B7CBB"/>
    <w:rsid w:val="004C0AA6"/>
    <w:rsid w:val="004C207B"/>
    <w:rsid w:val="004F147B"/>
    <w:rsid w:val="004F2CD7"/>
    <w:rsid w:val="00521ED8"/>
    <w:rsid w:val="00524347"/>
    <w:rsid w:val="00531D46"/>
    <w:rsid w:val="00536C1E"/>
    <w:rsid w:val="00540455"/>
    <w:rsid w:val="00545685"/>
    <w:rsid w:val="005513C4"/>
    <w:rsid w:val="00571490"/>
    <w:rsid w:val="00571510"/>
    <w:rsid w:val="00572E1F"/>
    <w:rsid w:val="005831F6"/>
    <w:rsid w:val="005832EE"/>
    <w:rsid w:val="00596EB0"/>
    <w:rsid w:val="005A3CEA"/>
    <w:rsid w:val="005A6D9D"/>
    <w:rsid w:val="005A7B22"/>
    <w:rsid w:val="005B09ED"/>
    <w:rsid w:val="005B3446"/>
    <w:rsid w:val="005B35B7"/>
    <w:rsid w:val="005C0A82"/>
    <w:rsid w:val="005C1927"/>
    <w:rsid w:val="005C41ED"/>
    <w:rsid w:val="005F0490"/>
    <w:rsid w:val="00600807"/>
    <w:rsid w:val="00604C77"/>
    <w:rsid w:val="00620997"/>
    <w:rsid w:val="0062181B"/>
    <w:rsid w:val="0063549B"/>
    <w:rsid w:val="00642135"/>
    <w:rsid w:val="00650FBA"/>
    <w:rsid w:val="00660AC2"/>
    <w:rsid w:val="006632AB"/>
    <w:rsid w:val="00670400"/>
    <w:rsid w:val="00672B38"/>
    <w:rsid w:val="00680109"/>
    <w:rsid w:val="0068177D"/>
    <w:rsid w:val="00683BC5"/>
    <w:rsid w:val="00683E58"/>
    <w:rsid w:val="00690DFA"/>
    <w:rsid w:val="006A0462"/>
    <w:rsid w:val="006A0860"/>
    <w:rsid w:val="006A3734"/>
    <w:rsid w:val="006A7379"/>
    <w:rsid w:val="006B3289"/>
    <w:rsid w:val="006B572F"/>
    <w:rsid w:val="006C3D8E"/>
    <w:rsid w:val="006D0802"/>
    <w:rsid w:val="006D31BC"/>
    <w:rsid w:val="006F4017"/>
    <w:rsid w:val="006F5E34"/>
    <w:rsid w:val="007004FA"/>
    <w:rsid w:val="0070527D"/>
    <w:rsid w:val="00713092"/>
    <w:rsid w:val="00730042"/>
    <w:rsid w:val="00730DE2"/>
    <w:rsid w:val="00732EB1"/>
    <w:rsid w:val="00737CE9"/>
    <w:rsid w:val="007441B0"/>
    <w:rsid w:val="00750889"/>
    <w:rsid w:val="00751628"/>
    <w:rsid w:val="007612B8"/>
    <w:rsid w:val="007671A4"/>
    <w:rsid w:val="0077050A"/>
    <w:rsid w:val="007779CE"/>
    <w:rsid w:val="00784310"/>
    <w:rsid w:val="00786F67"/>
    <w:rsid w:val="00792E50"/>
    <w:rsid w:val="0079439D"/>
    <w:rsid w:val="007A5C54"/>
    <w:rsid w:val="007B2CA1"/>
    <w:rsid w:val="007C27EF"/>
    <w:rsid w:val="007C6490"/>
    <w:rsid w:val="007C7206"/>
    <w:rsid w:val="007E013F"/>
    <w:rsid w:val="007E0410"/>
    <w:rsid w:val="007E2DFF"/>
    <w:rsid w:val="007E2E54"/>
    <w:rsid w:val="007E36D6"/>
    <w:rsid w:val="007F0C5D"/>
    <w:rsid w:val="007F6521"/>
    <w:rsid w:val="00805ADB"/>
    <w:rsid w:val="0081092C"/>
    <w:rsid w:val="00816D08"/>
    <w:rsid w:val="008176EB"/>
    <w:rsid w:val="00822A27"/>
    <w:rsid w:val="00831171"/>
    <w:rsid w:val="008325E6"/>
    <w:rsid w:val="0083296C"/>
    <w:rsid w:val="00833E99"/>
    <w:rsid w:val="0084454B"/>
    <w:rsid w:val="008451FF"/>
    <w:rsid w:val="00855F29"/>
    <w:rsid w:val="00856B4D"/>
    <w:rsid w:val="008573EE"/>
    <w:rsid w:val="00857C84"/>
    <w:rsid w:val="00870072"/>
    <w:rsid w:val="00892671"/>
    <w:rsid w:val="00894969"/>
    <w:rsid w:val="00897B67"/>
    <w:rsid w:val="008A18AF"/>
    <w:rsid w:val="008A1A19"/>
    <w:rsid w:val="008A260A"/>
    <w:rsid w:val="008A6DE3"/>
    <w:rsid w:val="008B32BC"/>
    <w:rsid w:val="008B7734"/>
    <w:rsid w:val="008C0C82"/>
    <w:rsid w:val="008D12BD"/>
    <w:rsid w:val="008D664A"/>
    <w:rsid w:val="008D7122"/>
    <w:rsid w:val="008F1407"/>
    <w:rsid w:val="00906CA3"/>
    <w:rsid w:val="00911048"/>
    <w:rsid w:val="00915BFC"/>
    <w:rsid w:val="00916601"/>
    <w:rsid w:val="00916CB0"/>
    <w:rsid w:val="00923416"/>
    <w:rsid w:val="00923996"/>
    <w:rsid w:val="009244B5"/>
    <w:rsid w:val="0093753F"/>
    <w:rsid w:val="00941ED7"/>
    <w:rsid w:val="00943453"/>
    <w:rsid w:val="00946BED"/>
    <w:rsid w:val="00952FF5"/>
    <w:rsid w:val="00954E46"/>
    <w:rsid w:val="00964892"/>
    <w:rsid w:val="00965A6E"/>
    <w:rsid w:val="00965C69"/>
    <w:rsid w:val="009679C8"/>
    <w:rsid w:val="009712F0"/>
    <w:rsid w:val="00972FF5"/>
    <w:rsid w:val="0097660C"/>
    <w:rsid w:val="00977F09"/>
    <w:rsid w:val="00981D88"/>
    <w:rsid w:val="00985433"/>
    <w:rsid w:val="00991F8C"/>
    <w:rsid w:val="0099230A"/>
    <w:rsid w:val="00994058"/>
    <w:rsid w:val="009970AD"/>
    <w:rsid w:val="009A7C5B"/>
    <w:rsid w:val="009C5855"/>
    <w:rsid w:val="009C58E7"/>
    <w:rsid w:val="009C5F0D"/>
    <w:rsid w:val="009D1AE1"/>
    <w:rsid w:val="009F35B4"/>
    <w:rsid w:val="009F3DC9"/>
    <w:rsid w:val="009F5E4E"/>
    <w:rsid w:val="009F6A06"/>
    <w:rsid w:val="009F768E"/>
    <w:rsid w:val="00A01ABC"/>
    <w:rsid w:val="00A05C00"/>
    <w:rsid w:val="00A06A04"/>
    <w:rsid w:val="00A12AE7"/>
    <w:rsid w:val="00A158B3"/>
    <w:rsid w:val="00A15BC2"/>
    <w:rsid w:val="00A16515"/>
    <w:rsid w:val="00A1771B"/>
    <w:rsid w:val="00A26AAE"/>
    <w:rsid w:val="00A448AB"/>
    <w:rsid w:val="00A459B6"/>
    <w:rsid w:val="00A53139"/>
    <w:rsid w:val="00A56BD0"/>
    <w:rsid w:val="00A63110"/>
    <w:rsid w:val="00A64765"/>
    <w:rsid w:val="00A66D58"/>
    <w:rsid w:val="00A716B6"/>
    <w:rsid w:val="00A7702F"/>
    <w:rsid w:val="00A80068"/>
    <w:rsid w:val="00A878FA"/>
    <w:rsid w:val="00AA08B9"/>
    <w:rsid w:val="00AB63A3"/>
    <w:rsid w:val="00AC755D"/>
    <w:rsid w:val="00AD6E1B"/>
    <w:rsid w:val="00AE5938"/>
    <w:rsid w:val="00AE6DB8"/>
    <w:rsid w:val="00AF0CA5"/>
    <w:rsid w:val="00AF5AD9"/>
    <w:rsid w:val="00AF60F6"/>
    <w:rsid w:val="00B027C5"/>
    <w:rsid w:val="00B041BC"/>
    <w:rsid w:val="00B16804"/>
    <w:rsid w:val="00B16BBA"/>
    <w:rsid w:val="00B17D8F"/>
    <w:rsid w:val="00B30B68"/>
    <w:rsid w:val="00B311D1"/>
    <w:rsid w:val="00B406BE"/>
    <w:rsid w:val="00B41E81"/>
    <w:rsid w:val="00B4340B"/>
    <w:rsid w:val="00B45F3E"/>
    <w:rsid w:val="00B46235"/>
    <w:rsid w:val="00B52800"/>
    <w:rsid w:val="00B52B66"/>
    <w:rsid w:val="00B60858"/>
    <w:rsid w:val="00B615DA"/>
    <w:rsid w:val="00B62F40"/>
    <w:rsid w:val="00B67B66"/>
    <w:rsid w:val="00B71423"/>
    <w:rsid w:val="00B72A35"/>
    <w:rsid w:val="00B75A22"/>
    <w:rsid w:val="00B816CC"/>
    <w:rsid w:val="00B831C2"/>
    <w:rsid w:val="00B90395"/>
    <w:rsid w:val="00BA7A0A"/>
    <w:rsid w:val="00BB0FC4"/>
    <w:rsid w:val="00BB6FC7"/>
    <w:rsid w:val="00BC00BC"/>
    <w:rsid w:val="00BC3B57"/>
    <w:rsid w:val="00BD2C66"/>
    <w:rsid w:val="00BF1A37"/>
    <w:rsid w:val="00BF4B84"/>
    <w:rsid w:val="00C137CE"/>
    <w:rsid w:val="00C14968"/>
    <w:rsid w:val="00C21B59"/>
    <w:rsid w:val="00C30CC9"/>
    <w:rsid w:val="00C34D39"/>
    <w:rsid w:val="00C40A5A"/>
    <w:rsid w:val="00C46655"/>
    <w:rsid w:val="00C55D1C"/>
    <w:rsid w:val="00C6059A"/>
    <w:rsid w:val="00C65CC0"/>
    <w:rsid w:val="00C65F70"/>
    <w:rsid w:val="00C67995"/>
    <w:rsid w:val="00C67CAA"/>
    <w:rsid w:val="00C70032"/>
    <w:rsid w:val="00C7173D"/>
    <w:rsid w:val="00C71746"/>
    <w:rsid w:val="00C742E1"/>
    <w:rsid w:val="00C75888"/>
    <w:rsid w:val="00C8338E"/>
    <w:rsid w:val="00C858C1"/>
    <w:rsid w:val="00C9393C"/>
    <w:rsid w:val="00CA11F0"/>
    <w:rsid w:val="00CA5314"/>
    <w:rsid w:val="00CA5A28"/>
    <w:rsid w:val="00CA66F2"/>
    <w:rsid w:val="00CA7C09"/>
    <w:rsid w:val="00CB1BBB"/>
    <w:rsid w:val="00CC179E"/>
    <w:rsid w:val="00CC1C5A"/>
    <w:rsid w:val="00CC4EA5"/>
    <w:rsid w:val="00CC6F8F"/>
    <w:rsid w:val="00CD43D2"/>
    <w:rsid w:val="00CD77B1"/>
    <w:rsid w:val="00CE1ADC"/>
    <w:rsid w:val="00CE781C"/>
    <w:rsid w:val="00CF3C65"/>
    <w:rsid w:val="00CF6A20"/>
    <w:rsid w:val="00D10C19"/>
    <w:rsid w:val="00D200BE"/>
    <w:rsid w:val="00D23209"/>
    <w:rsid w:val="00D41781"/>
    <w:rsid w:val="00D44A8D"/>
    <w:rsid w:val="00D5162A"/>
    <w:rsid w:val="00D54280"/>
    <w:rsid w:val="00D6080C"/>
    <w:rsid w:val="00D62ECE"/>
    <w:rsid w:val="00D64771"/>
    <w:rsid w:val="00D70B92"/>
    <w:rsid w:val="00D716BB"/>
    <w:rsid w:val="00D83A6E"/>
    <w:rsid w:val="00D91B5E"/>
    <w:rsid w:val="00DA2B09"/>
    <w:rsid w:val="00DA2E38"/>
    <w:rsid w:val="00DA770F"/>
    <w:rsid w:val="00DB43B7"/>
    <w:rsid w:val="00DB7DCB"/>
    <w:rsid w:val="00DC2421"/>
    <w:rsid w:val="00DC3716"/>
    <w:rsid w:val="00DC43C1"/>
    <w:rsid w:val="00DC4B62"/>
    <w:rsid w:val="00DC5636"/>
    <w:rsid w:val="00DE7909"/>
    <w:rsid w:val="00DF158F"/>
    <w:rsid w:val="00DF7DDE"/>
    <w:rsid w:val="00E012C7"/>
    <w:rsid w:val="00E06CC8"/>
    <w:rsid w:val="00E12A77"/>
    <w:rsid w:val="00E15CF0"/>
    <w:rsid w:val="00E21EA7"/>
    <w:rsid w:val="00E23CAE"/>
    <w:rsid w:val="00E247AF"/>
    <w:rsid w:val="00E24A23"/>
    <w:rsid w:val="00E34D79"/>
    <w:rsid w:val="00E3585A"/>
    <w:rsid w:val="00E4747E"/>
    <w:rsid w:val="00E553AC"/>
    <w:rsid w:val="00E61846"/>
    <w:rsid w:val="00E63AC1"/>
    <w:rsid w:val="00E66486"/>
    <w:rsid w:val="00E705A4"/>
    <w:rsid w:val="00E80AD5"/>
    <w:rsid w:val="00E80BCC"/>
    <w:rsid w:val="00E8226D"/>
    <w:rsid w:val="00E86C07"/>
    <w:rsid w:val="00EA035F"/>
    <w:rsid w:val="00EA41E1"/>
    <w:rsid w:val="00EA699F"/>
    <w:rsid w:val="00EB26A8"/>
    <w:rsid w:val="00EB3227"/>
    <w:rsid w:val="00EB4986"/>
    <w:rsid w:val="00EB56B1"/>
    <w:rsid w:val="00EB71B4"/>
    <w:rsid w:val="00EC50FD"/>
    <w:rsid w:val="00EC5583"/>
    <w:rsid w:val="00ED6D32"/>
    <w:rsid w:val="00EE3002"/>
    <w:rsid w:val="00EE4BE6"/>
    <w:rsid w:val="00EE53FC"/>
    <w:rsid w:val="00EF1C39"/>
    <w:rsid w:val="00EF2589"/>
    <w:rsid w:val="00F0262D"/>
    <w:rsid w:val="00F02CBD"/>
    <w:rsid w:val="00F10715"/>
    <w:rsid w:val="00F12DDC"/>
    <w:rsid w:val="00F13D57"/>
    <w:rsid w:val="00F240AB"/>
    <w:rsid w:val="00F338FD"/>
    <w:rsid w:val="00F404F3"/>
    <w:rsid w:val="00F406E5"/>
    <w:rsid w:val="00F427E4"/>
    <w:rsid w:val="00F47522"/>
    <w:rsid w:val="00F525DD"/>
    <w:rsid w:val="00F53945"/>
    <w:rsid w:val="00F54FF9"/>
    <w:rsid w:val="00F55950"/>
    <w:rsid w:val="00F63A00"/>
    <w:rsid w:val="00F6645D"/>
    <w:rsid w:val="00F679F6"/>
    <w:rsid w:val="00F74E92"/>
    <w:rsid w:val="00F775C3"/>
    <w:rsid w:val="00F81FB1"/>
    <w:rsid w:val="00F83DAF"/>
    <w:rsid w:val="00F849A5"/>
    <w:rsid w:val="00F86CAA"/>
    <w:rsid w:val="00F97088"/>
    <w:rsid w:val="00FA0AFA"/>
    <w:rsid w:val="00FA16C3"/>
    <w:rsid w:val="00FA1C66"/>
    <w:rsid w:val="00FA4572"/>
    <w:rsid w:val="00FA51F0"/>
    <w:rsid w:val="00FB0F26"/>
    <w:rsid w:val="00FB1F36"/>
    <w:rsid w:val="00FB5438"/>
    <w:rsid w:val="00FB650F"/>
    <w:rsid w:val="00FC416D"/>
    <w:rsid w:val="00FC51FD"/>
    <w:rsid w:val="00FC7588"/>
    <w:rsid w:val="00FD168E"/>
    <w:rsid w:val="00FE2EF4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C6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1C6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C6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C6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1C6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1C6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1C6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1C6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1C6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1C6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C6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C6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C6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1C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1C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1C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1C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A1C6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C6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2016-08-09T07:46:00Z</cp:lastPrinted>
  <dcterms:created xsi:type="dcterms:W3CDTF">2016-08-09T07:46:00Z</dcterms:created>
  <dcterms:modified xsi:type="dcterms:W3CDTF">2016-08-09T07:46:00Z</dcterms:modified>
</cp:coreProperties>
</file>