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5776595"/>
    <w:bookmarkStart w:id="1" w:name="_Toc456688591"/>
    <w:bookmarkStart w:id="2" w:name="_Toc456688607"/>
    <w:bookmarkStart w:id="3" w:name="_Toc458240995"/>
    <w:bookmarkStart w:id="4" w:name="_GoBack"/>
    <w:bookmarkEnd w:id="4"/>
    <w:p w:rsidR="00DD51D2" w:rsidRPr="00CC307A" w:rsidRDefault="00DD51D2" w:rsidP="00DD51D2">
      <w:pPr>
        <w:pStyle w:val="berschrift2"/>
        <w:rPr>
          <w:color w:val="auto"/>
        </w:rPr>
      </w:pPr>
      <w:r>
        <w:rPr>
          <w:noProof/>
          <w:lang w:eastAsia="de-DE"/>
        </w:rPr>
        <mc:AlternateContent>
          <mc:Choice Requires="wps">
            <w:drawing>
              <wp:anchor distT="0" distB="0" distL="114300" distR="114300" simplePos="0" relativeHeight="251659264" behindDoc="0" locked="0" layoutInCell="1" allowOverlap="1" wp14:anchorId="23F2E487" wp14:editId="3835D268">
                <wp:simplePos x="0" y="0"/>
                <wp:positionH relativeFrom="margin">
                  <wp:align>left</wp:align>
                </wp:positionH>
                <wp:positionV relativeFrom="paragraph">
                  <wp:posOffset>401955</wp:posOffset>
                </wp:positionV>
                <wp:extent cx="5873115" cy="1304925"/>
                <wp:effectExtent l="0" t="0" r="13335" b="2857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04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51D2" w:rsidRPr="00857FDA" w:rsidRDefault="00DD51D2" w:rsidP="00DD51D2">
                            <w:pPr>
                              <w:rPr>
                                <w:color w:val="FF0000"/>
                              </w:rPr>
                            </w:pPr>
                            <w:r>
                              <w:rPr>
                                <w:color w:val="auto"/>
                              </w:rPr>
                              <w:t>In diesem Versuch soll die Photokatalyse durch Zinkoxid (</w:t>
                            </w:r>
                            <w:proofErr w:type="spellStart"/>
                            <w:r>
                              <w:rPr>
                                <w:color w:val="auto"/>
                              </w:rPr>
                              <w:t>ZnO</w:t>
                            </w:r>
                            <w:proofErr w:type="spellEnd"/>
                            <w:r>
                              <w:rPr>
                                <w:color w:val="auto"/>
                              </w:rPr>
                              <w:t xml:space="preserve">) Nanopartikeln thematisiert werden. Die Synthese der </w:t>
                            </w:r>
                            <w:proofErr w:type="spellStart"/>
                            <w:r>
                              <w:rPr>
                                <w:color w:val="auto"/>
                              </w:rPr>
                              <w:t>ZnO</w:t>
                            </w:r>
                            <w:proofErr w:type="spellEnd"/>
                            <w:r>
                              <w:rPr>
                                <w:color w:val="auto"/>
                              </w:rPr>
                              <w:t>-Nanopartikel wurde im Protokoll „Nanotechnologie“ (Klasse 9 &amp; 10, Jahrgang 2016) bereits vorgestellt, sodass die synthetisierten Partikel für diesen Versuch weiterverwendet werden können</w:t>
                            </w:r>
                            <w:r w:rsidRPr="00E466B8">
                              <w:rPr>
                                <w:color w:val="auto"/>
                              </w:rPr>
                              <w:t xml:space="preserve">. Die SuS benötigen für die Auswertung Vorwissen </w:t>
                            </w:r>
                            <w:r>
                              <w:rPr>
                                <w:color w:val="auto"/>
                              </w:rPr>
                              <w:t>zum</w:t>
                            </w:r>
                            <w:r w:rsidRPr="00E466B8">
                              <w:rPr>
                                <w:color w:val="auto"/>
                              </w:rPr>
                              <w:t xml:space="preserve"> Ablauf einer Katalyse, allerdings keine weitgehenden Kenntnisse </w:t>
                            </w:r>
                            <w:r>
                              <w:rPr>
                                <w:color w:val="auto"/>
                              </w:rPr>
                              <w:t>zur</w:t>
                            </w:r>
                            <w:r w:rsidRPr="00E466B8">
                              <w:rPr>
                                <w:color w:val="auto"/>
                              </w:rPr>
                              <w:t xml:space="preserve"> Photokatalyse.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2E487" id="_x0000_t202" coordsize="21600,21600" o:spt="202" path="m,l,21600r21600,l21600,xe">
                <v:stroke joinstyle="miter"/>
                <v:path gradientshapeok="t" o:connecttype="rect"/>
              </v:shapetype>
              <v:shape id="Text Box 60" o:spid="_x0000_s1026" type="#_x0000_t202" style="position:absolute;left:0;text-align:left;margin-left:0;margin-top:31.65pt;width:462.45pt;height:10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oS7gIAACs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" fillcolor="white [3201]" strokecolor="#4472c4 [3208]" strokeweight="1pt">
                <v:stroke dashstyle="dash"/>
                <v:shadow color="#868686"/>
                <v:textbox>
                  <w:txbxContent>
                    <w:p w:rsidR="00DD51D2" w:rsidRPr="00857FDA" w:rsidRDefault="00DD51D2" w:rsidP="00DD51D2">
                      <w:pPr>
                        <w:rPr>
                          <w:color w:val="FF0000"/>
                        </w:rPr>
                      </w:pPr>
                      <w:r>
                        <w:rPr>
                          <w:color w:val="auto"/>
                        </w:rPr>
                        <w:t>In diesem Versuch soll die Photokatalyse durch Zinkoxid (</w:t>
                      </w:r>
                      <w:proofErr w:type="spellStart"/>
                      <w:r>
                        <w:rPr>
                          <w:color w:val="auto"/>
                        </w:rPr>
                        <w:t>ZnO</w:t>
                      </w:r>
                      <w:proofErr w:type="spellEnd"/>
                      <w:r>
                        <w:rPr>
                          <w:color w:val="auto"/>
                        </w:rPr>
                        <w:t xml:space="preserve">) Nanopartikeln thematisiert werden. Die Synthese der </w:t>
                      </w:r>
                      <w:proofErr w:type="spellStart"/>
                      <w:r>
                        <w:rPr>
                          <w:color w:val="auto"/>
                        </w:rPr>
                        <w:t>ZnO</w:t>
                      </w:r>
                      <w:proofErr w:type="spellEnd"/>
                      <w:r>
                        <w:rPr>
                          <w:color w:val="auto"/>
                        </w:rPr>
                        <w:t>-Nanopartikel wurde im Protokoll „Nanotechnologie“ (Klasse 9 &amp; 10, Jahrgang 2016) bereits vorgestellt, sodass die synthetisierten Partikel für diesen Versuch weiterverwendet werden können</w:t>
                      </w:r>
                      <w:r w:rsidRPr="00E466B8">
                        <w:rPr>
                          <w:color w:val="auto"/>
                        </w:rPr>
                        <w:t xml:space="preserve">. Die SuS benötigen für die Auswertung Vorwissen </w:t>
                      </w:r>
                      <w:r>
                        <w:rPr>
                          <w:color w:val="auto"/>
                        </w:rPr>
                        <w:t>zum</w:t>
                      </w:r>
                      <w:r w:rsidRPr="00E466B8">
                        <w:rPr>
                          <w:color w:val="auto"/>
                        </w:rPr>
                        <w:t xml:space="preserve"> Ablauf einer Katalyse, allerdings keine weitgehenden Kenntnisse </w:t>
                      </w:r>
                      <w:r>
                        <w:rPr>
                          <w:color w:val="auto"/>
                        </w:rPr>
                        <w:t>zur</w:t>
                      </w:r>
                      <w:r w:rsidRPr="00E466B8">
                        <w:rPr>
                          <w:color w:val="auto"/>
                        </w:rPr>
                        <w:t xml:space="preserve"> Photokatalyse.</w:t>
                      </w:r>
                    </w:p>
                  </w:txbxContent>
                </v:textbox>
                <w10:wrap type="square" anchorx="margin"/>
              </v:shape>
            </w:pict>
          </mc:Fallback>
        </mc:AlternateContent>
      </w:r>
      <w:bookmarkEnd w:id="0"/>
      <w:bookmarkEnd w:id="1"/>
      <w:bookmarkEnd w:id="2"/>
      <w:r w:rsidRPr="00CC307A">
        <w:rPr>
          <w:color w:val="auto"/>
        </w:rPr>
        <w:t xml:space="preserve">V1 – </w:t>
      </w:r>
      <w:r>
        <w:rPr>
          <w:color w:val="auto"/>
        </w:rPr>
        <w:t xml:space="preserve">Photokatalyse durch </w:t>
      </w:r>
      <w:proofErr w:type="spellStart"/>
      <w:r>
        <w:rPr>
          <w:color w:val="auto"/>
        </w:rPr>
        <w:t>ZnO</w:t>
      </w:r>
      <w:proofErr w:type="spellEnd"/>
      <w:r>
        <w:rPr>
          <w:color w:val="auto"/>
        </w:rPr>
        <w:t>-Nanopartikeln</w:t>
      </w:r>
      <w:bookmarkEnd w:id="3"/>
    </w:p>
    <w:p w:rsidR="00DD51D2" w:rsidRDefault="00DD51D2" w:rsidP="00DD51D2">
      <w:pPr>
        <w:pStyle w:val="berschrift2"/>
        <w:numPr>
          <w:ilvl w:val="0"/>
          <w:numId w:val="0"/>
        </w:numPr>
      </w:pPr>
    </w:p>
    <w:p w:rsidR="00DD51D2" w:rsidRPr="00B23E6D" w:rsidRDefault="00DD51D2" w:rsidP="00DD51D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D51D2" w:rsidRPr="009C5E28" w:rsidTr="009236E9">
        <w:tc>
          <w:tcPr>
            <w:tcW w:w="9322" w:type="dxa"/>
            <w:gridSpan w:val="9"/>
            <w:shd w:val="clear" w:color="auto" w:fill="4F81BD"/>
            <w:vAlign w:val="center"/>
          </w:tcPr>
          <w:p w:rsidR="00DD51D2" w:rsidRPr="00F31EBF" w:rsidRDefault="00DD51D2" w:rsidP="009236E9">
            <w:pPr>
              <w:spacing w:after="0"/>
              <w:jc w:val="center"/>
              <w:rPr>
                <w:b/>
                <w:bCs/>
                <w:color w:val="FFFFFF" w:themeColor="background1"/>
              </w:rPr>
            </w:pPr>
            <w:r w:rsidRPr="00F31EBF">
              <w:rPr>
                <w:b/>
                <w:bCs/>
                <w:color w:val="FFFFFF" w:themeColor="background1"/>
              </w:rPr>
              <w:t>Gefahrenstoffe</w:t>
            </w:r>
          </w:p>
        </w:tc>
      </w:tr>
      <w:tr w:rsidR="00DD51D2"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51D2" w:rsidRPr="009C5E28" w:rsidRDefault="00DD51D2" w:rsidP="009236E9">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51D2" w:rsidRPr="009C5E28" w:rsidRDefault="00DD51D2" w:rsidP="009236E9">
            <w:pPr>
              <w:spacing w:after="0"/>
              <w:jc w:val="center"/>
            </w:pPr>
            <w:r w:rsidRPr="009C5E28">
              <w:rPr>
                <w:sz w:val="20"/>
              </w:rPr>
              <w:t xml:space="preserve">P: </w:t>
            </w:r>
            <w:r>
              <w:t>-</w:t>
            </w:r>
          </w:p>
        </w:tc>
      </w:tr>
      <w:tr w:rsidR="00DD51D2"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51D2" w:rsidRDefault="00DD51D2" w:rsidP="009236E9">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51D2" w:rsidRPr="009C5E28" w:rsidRDefault="00DD51D2" w:rsidP="009236E9">
            <w:pPr>
              <w:spacing w:after="0"/>
              <w:jc w:val="center"/>
              <w:rPr>
                <w:sz w:val="20"/>
              </w:rPr>
            </w:pPr>
            <w:r>
              <w:rPr>
                <w:sz w:val="20"/>
              </w:rPr>
              <w:t>P: 210</w:t>
            </w:r>
          </w:p>
        </w:tc>
      </w:tr>
      <w:tr w:rsidR="00DD51D2"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51D2" w:rsidRDefault="00DD51D2" w:rsidP="009236E9">
            <w:pPr>
              <w:spacing w:after="0" w:line="276" w:lineRule="auto"/>
              <w:jc w:val="center"/>
              <w:rPr>
                <w:sz w:val="20"/>
              </w:rPr>
            </w:pPr>
            <w:r>
              <w:rPr>
                <w:sz w:val="20"/>
              </w:rPr>
              <w:t>Zinkoxid</w:t>
            </w:r>
          </w:p>
        </w:tc>
        <w:tc>
          <w:tcPr>
            <w:tcW w:w="3177" w:type="dxa"/>
            <w:gridSpan w:val="3"/>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rPr>
                <w:sz w:val="20"/>
              </w:rPr>
            </w:pPr>
            <w:r>
              <w:rPr>
                <w:sz w:val="20"/>
              </w:rPr>
              <w:t>H: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51D2" w:rsidRPr="009C5E28" w:rsidRDefault="00DD51D2" w:rsidP="009236E9">
            <w:pPr>
              <w:spacing w:after="0"/>
              <w:jc w:val="center"/>
              <w:rPr>
                <w:sz w:val="20"/>
              </w:rPr>
            </w:pPr>
            <w:r>
              <w:rPr>
                <w:sz w:val="20"/>
              </w:rPr>
              <w:t>P: 273</w:t>
            </w:r>
          </w:p>
        </w:tc>
      </w:tr>
      <w:tr w:rsidR="00DD51D2"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51D2" w:rsidRDefault="00DD51D2" w:rsidP="009236E9">
            <w:pPr>
              <w:spacing w:after="0" w:line="276" w:lineRule="auto"/>
              <w:jc w:val="center"/>
              <w:rPr>
                <w:sz w:val="20"/>
              </w:rPr>
            </w:pPr>
            <w:r>
              <w:rPr>
                <w:sz w:val="20"/>
              </w:rPr>
              <w:t>Methylenblau</w:t>
            </w:r>
          </w:p>
        </w:tc>
        <w:tc>
          <w:tcPr>
            <w:tcW w:w="3177" w:type="dxa"/>
            <w:gridSpan w:val="3"/>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rPr>
                <w:sz w:val="20"/>
              </w:rPr>
            </w:pPr>
            <w:r>
              <w:rPr>
                <w:sz w:val="20"/>
              </w:rP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51D2" w:rsidRPr="009C5E28" w:rsidRDefault="00DD51D2" w:rsidP="009236E9">
            <w:pPr>
              <w:spacing w:after="0"/>
              <w:jc w:val="center"/>
              <w:rPr>
                <w:sz w:val="20"/>
              </w:rPr>
            </w:pPr>
            <w:r>
              <w:rPr>
                <w:sz w:val="20"/>
              </w:rPr>
              <w:t>P: 301+312</w:t>
            </w:r>
          </w:p>
        </w:tc>
      </w:tr>
      <w:tr w:rsidR="00DD51D2"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DD51D2" w:rsidRPr="009C5E28" w:rsidRDefault="00DD51D2" w:rsidP="009236E9">
            <w:pPr>
              <w:spacing w:after="0"/>
              <w:jc w:val="center"/>
              <w:rPr>
                <w:b/>
                <w:bCs/>
              </w:rPr>
            </w:pPr>
            <w:r w:rsidRPr="00336881">
              <w:rPr>
                <w:rFonts w:asciiTheme="majorHAnsi" w:hAnsiTheme="majorHAnsi"/>
                <w:b/>
                <w:noProof/>
                <w:color w:val="auto"/>
                <w:lang w:eastAsia="de-DE"/>
              </w:rPr>
              <w:drawing>
                <wp:inline distT="0" distB="0" distL="0" distR="0" wp14:anchorId="03D59E93" wp14:editId="3531291F">
                  <wp:extent cx="538061" cy="540000"/>
                  <wp:effectExtent l="0" t="0" r="0" b="0"/>
                  <wp:docPr id="44"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Pr>
                <w:noProof/>
                <w:lang w:eastAsia="de-DE"/>
              </w:rPr>
              <w:drawing>
                <wp:inline distT="0" distB="0" distL="0" distR="0" wp14:anchorId="3A035B2F" wp14:editId="2DCDFA82">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sidRPr="00B40362">
              <w:rPr>
                <w:noProof/>
                <w:lang w:eastAsia="de-DE"/>
              </w:rPr>
              <w:drawing>
                <wp:inline distT="0" distB="0" distL="0" distR="0" wp14:anchorId="52101E4C" wp14:editId="4F6737FA">
                  <wp:extent cx="571500" cy="571500"/>
                  <wp:effectExtent l="0" t="0" r="0" b="0"/>
                  <wp:docPr id="57" name="Grafik 57" descr="C:\Users\Ann-Kathrin\Documents\Studium\SoSe16\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Kathrin\Documents\Studium\SoSe16\SVP\Piktogramme\Brennbar.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71500" cy="5715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Pr>
                <w:noProof/>
                <w:lang w:eastAsia="de-DE"/>
              </w:rPr>
              <w:drawing>
                <wp:inline distT="0" distB="0" distL="0" distR="0" wp14:anchorId="45DB6104" wp14:editId="0C259F36">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Pr>
                <w:noProof/>
                <w:lang w:eastAsia="de-DE"/>
              </w:rPr>
              <w:drawing>
                <wp:inline distT="0" distB="0" distL="0" distR="0" wp14:anchorId="1A599C68" wp14:editId="7AD207B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sidRPr="00B40362">
              <w:rPr>
                <w:noProof/>
                <w:lang w:eastAsia="de-DE"/>
              </w:rPr>
              <w:drawing>
                <wp:inline distT="0" distB="0" distL="0" distR="0" wp14:anchorId="667DD6D5" wp14:editId="04A798CD">
                  <wp:extent cx="504825" cy="504825"/>
                  <wp:effectExtent l="0" t="0" r="9525" b="9525"/>
                  <wp:docPr id="59" name="Grafik 59" descr="C:\Users\Ann-Kathrin\Documents\Studium\SoSe16\SVP\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Kathrin\Documents\Studium\SoSe16\SVP\Piktogramme\Grau\Gesundheitsgefah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Pr>
                <w:noProof/>
                <w:lang w:eastAsia="de-DE"/>
              </w:rPr>
              <w:drawing>
                <wp:inline distT="0" distB="0" distL="0" distR="0" wp14:anchorId="2C9DA7C5" wp14:editId="373A0C5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51D2" w:rsidRPr="009C5E28" w:rsidRDefault="00DD51D2" w:rsidP="009236E9">
            <w:pPr>
              <w:spacing w:after="0"/>
              <w:jc w:val="center"/>
            </w:pPr>
            <w:r>
              <w:rPr>
                <w:noProof/>
                <w:lang w:eastAsia="de-DE"/>
              </w:rPr>
              <w:drawing>
                <wp:inline distT="0" distB="0" distL="0" distR="0" wp14:anchorId="48F8C617" wp14:editId="0AD441B1">
                  <wp:extent cx="542925" cy="542925"/>
                  <wp:effectExtent l="0" t="0" r="9525" b="9525"/>
                  <wp:docPr id="51" name="Grafik 51" descr="C:\Users\Ann-Kathrin\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Kathrin\AppData\Local\Microsoft\Windows\INetCache\Content.Word\Reizend.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D51D2" w:rsidRPr="009C5E28" w:rsidRDefault="00DD51D2" w:rsidP="009236E9">
            <w:pPr>
              <w:spacing w:after="0"/>
              <w:jc w:val="center"/>
            </w:pPr>
            <w:r w:rsidRPr="00B40362">
              <w:rPr>
                <w:noProof/>
                <w:lang w:eastAsia="de-DE"/>
              </w:rPr>
              <w:drawing>
                <wp:inline distT="0" distB="0" distL="0" distR="0" wp14:anchorId="0BE8D4E8" wp14:editId="7E3C8532">
                  <wp:extent cx="590550" cy="590550"/>
                  <wp:effectExtent l="0" t="0" r="0" b="0"/>
                  <wp:docPr id="58" name="Grafik 58"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Kathrin\Documents\Studium\SoSe16\SV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0550" cy="590550"/>
                          </a:xfrm>
                          <a:prstGeom prst="rect">
                            <a:avLst/>
                          </a:prstGeom>
                          <a:noFill/>
                          <a:ln>
                            <a:noFill/>
                          </a:ln>
                        </pic:spPr>
                      </pic:pic>
                    </a:graphicData>
                  </a:graphic>
                </wp:inline>
              </w:drawing>
            </w:r>
          </w:p>
        </w:tc>
      </w:tr>
    </w:tbl>
    <w:p w:rsidR="00DD51D2" w:rsidRDefault="00DD51D2" w:rsidP="00DD51D2">
      <w:pPr>
        <w:tabs>
          <w:tab w:val="left" w:pos="1701"/>
          <w:tab w:val="left" w:pos="1985"/>
        </w:tabs>
        <w:ind w:left="1980" w:hanging="1980"/>
      </w:pPr>
    </w:p>
    <w:p w:rsidR="00DD51D2" w:rsidRPr="005E08FE" w:rsidRDefault="00DD51D2" w:rsidP="00DD51D2">
      <w:pPr>
        <w:tabs>
          <w:tab w:val="left" w:pos="1701"/>
          <w:tab w:val="left" w:pos="1985"/>
        </w:tabs>
        <w:ind w:left="1980" w:hanging="1980"/>
        <w:rPr>
          <w:color w:val="auto"/>
        </w:rPr>
      </w:pPr>
      <w:r>
        <w:t xml:space="preserve">Materialien: </w:t>
      </w:r>
      <w:r>
        <w:tab/>
      </w:r>
      <w:r>
        <w:tab/>
        <w:t>4 Bechergläser (100 </w:t>
      </w:r>
      <w:proofErr w:type="spellStart"/>
      <w:r>
        <w:t>mL</w:t>
      </w:r>
      <w:proofErr w:type="spellEnd"/>
      <w:r>
        <w:t>), UV-Lampe (300 W), Stativ</w:t>
      </w:r>
      <w:r w:rsidRPr="005E08FE">
        <w:rPr>
          <w:color w:val="auto"/>
        </w:rPr>
        <w:t xml:space="preserve"> </w:t>
      </w:r>
    </w:p>
    <w:p w:rsidR="00DD51D2" w:rsidRPr="00ED07C2" w:rsidRDefault="00DD51D2" w:rsidP="00DD51D2">
      <w:pPr>
        <w:tabs>
          <w:tab w:val="left" w:pos="1701"/>
          <w:tab w:val="left" w:pos="1985"/>
        </w:tabs>
        <w:ind w:left="1980" w:hanging="1980"/>
      </w:pPr>
      <w:r>
        <w:t>Chemikalien:</w:t>
      </w:r>
      <w:r>
        <w:tab/>
      </w:r>
      <w:r>
        <w:tab/>
      </w:r>
      <w:proofErr w:type="spellStart"/>
      <w:r>
        <w:t>ZnO</w:t>
      </w:r>
      <w:proofErr w:type="spellEnd"/>
      <w:r>
        <w:t>-Nanopartikel-Lösung, Methylenblau, Dem. Wasser</w:t>
      </w:r>
    </w:p>
    <w:p w:rsidR="00DD51D2" w:rsidRDefault="00DD51D2" w:rsidP="00DD51D2">
      <w:pPr>
        <w:tabs>
          <w:tab w:val="left" w:pos="1701"/>
          <w:tab w:val="left" w:pos="1985"/>
        </w:tabs>
        <w:ind w:left="1980" w:hanging="1980"/>
      </w:pPr>
      <w:r>
        <w:t xml:space="preserve">Durchführung: </w:t>
      </w:r>
      <w:r>
        <w:tab/>
      </w:r>
      <w:r>
        <w:tab/>
      </w:r>
      <w:r>
        <w:tab/>
        <w:t>Zur Herstellung einer wässrigen Methylenblau-Lösung werden je 3 Tropfen Methylenblau (c=0,05 </w:t>
      </w:r>
      <w:proofErr w:type="spellStart"/>
      <w:r>
        <w:t>mol</w:t>
      </w:r>
      <w:proofErr w:type="spellEnd"/>
      <w:r>
        <w:t>/L) in 45 </w:t>
      </w:r>
      <w:proofErr w:type="spellStart"/>
      <w:r>
        <w:t>mL</w:t>
      </w:r>
      <w:proofErr w:type="spellEnd"/>
      <w:r>
        <w:t xml:space="preserve"> Wasser bzw. in 45 </w:t>
      </w:r>
      <w:proofErr w:type="spellStart"/>
      <w:r>
        <w:t>mL</w:t>
      </w:r>
      <w:proofErr w:type="spellEnd"/>
      <w:r>
        <w:t xml:space="preserve"> Ethanol gegeben und vermengt. 5 </w:t>
      </w:r>
      <w:proofErr w:type="spellStart"/>
      <w:r>
        <w:t>mL</w:t>
      </w:r>
      <w:proofErr w:type="spellEnd"/>
      <w:r>
        <w:t xml:space="preserve"> der jeweiligen Methylenblau-Lösungen werden mit 5 </w:t>
      </w:r>
      <w:proofErr w:type="spellStart"/>
      <w:r>
        <w:t>mL</w:t>
      </w:r>
      <w:proofErr w:type="spellEnd"/>
      <w:r>
        <w:t xml:space="preserve"> einer </w:t>
      </w:r>
      <w:proofErr w:type="spellStart"/>
      <w:r>
        <w:t>ZnO</w:t>
      </w:r>
      <w:proofErr w:type="spellEnd"/>
      <w:r>
        <w:t>-Nanopartikel-Lösung versetzt. Die Lösungen werden anschließend für eine halbe Stunde mit UV-Licht bestrahlt.</w:t>
      </w:r>
    </w:p>
    <w:p w:rsidR="00DD51D2" w:rsidRDefault="00DD51D2" w:rsidP="00DD51D2">
      <w:pPr>
        <w:tabs>
          <w:tab w:val="left" w:pos="1701"/>
          <w:tab w:val="left" w:pos="1985"/>
        </w:tabs>
        <w:ind w:left="1980" w:hanging="1980"/>
      </w:pPr>
      <w:r>
        <w:t>Beobachtung:</w:t>
      </w:r>
      <w:r>
        <w:tab/>
      </w:r>
      <w:r>
        <w:tab/>
      </w:r>
      <w:r>
        <w:tab/>
        <w:t xml:space="preserve">Nach Zugabe der Methylenblau-Wasser-Lösung zur </w:t>
      </w:r>
      <w:proofErr w:type="spellStart"/>
      <w:r>
        <w:t>ZnO</w:t>
      </w:r>
      <w:proofErr w:type="spellEnd"/>
      <w:r>
        <w:t xml:space="preserve">-Lösung fällt ein weißer Feststoff aus. Nach der Belichtung ist die Lösung farblos. Die mit Methylenblau-Ethanol-Lösung versetzte </w:t>
      </w:r>
      <w:proofErr w:type="spellStart"/>
      <w:r>
        <w:t>ZnO</w:t>
      </w:r>
      <w:proofErr w:type="spellEnd"/>
      <w:r>
        <w:t>-Nanopartikel-Lösung hat sich nicht vollständig entfärbt. Eine leichte hellblaue Färbung ist weiterhin zu erkennen, welche zum Vergleich der Ausgangslösung heller ist. In dieser Lösung ist auch nach der Belichtung kein Feststoff ausgefallen.</w:t>
      </w:r>
    </w:p>
    <w:p w:rsidR="00DD51D2" w:rsidRDefault="00DD51D2" w:rsidP="00DD51D2">
      <w:pPr>
        <w:tabs>
          <w:tab w:val="left" w:pos="1701"/>
          <w:tab w:val="left" w:pos="1985"/>
        </w:tabs>
        <w:ind w:left="1980" w:hanging="1980"/>
        <w:jc w:val="center"/>
      </w:pPr>
      <w:r>
        <w:rPr>
          <w:noProof/>
          <w:lang w:eastAsia="de-DE"/>
        </w:rPr>
        <w:lastRenderedPageBreak/>
        <w:drawing>
          <wp:inline distT="0" distB="0" distL="0" distR="0" wp14:anchorId="72CEC2DA" wp14:editId="0116106C">
            <wp:extent cx="1334932" cy="216000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20160802_150244.jpg"/>
                    <pic:cNvPicPr/>
                  </pic:nvPicPr>
                  <pic:blipFill>
                    <a:blip r:embed="rId14" cstate="email">
                      <a:extLst>
                        <a:ext uri="{28A0092B-C50C-407E-A947-70E740481C1C}">
                          <a14:useLocalDpi xmlns:a14="http://schemas.microsoft.com/office/drawing/2010/main"/>
                        </a:ext>
                      </a:extLst>
                    </a:blip>
                    <a:stretch>
                      <a:fillRect/>
                    </a:stretch>
                  </pic:blipFill>
                  <pic:spPr>
                    <a:xfrm>
                      <a:off x="0" y="0"/>
                      <a:ext cx="1334932" cy="2160000"/>
                    </a:xfrm>
                    <a:prstGeom prst="rect">
                      <a:avLst/>
                    </a:prstGeom>
                  </pic:spPr>
                </pic:pic>
              </a:graphicData>
            </a:graphic>
          </wp:inline>
        </w:drawing>
      </w:r>
      <w:r>
        <w:t xml:space="preserve">  </w:t>
      </w:r>
      <w:r>
        <w:rPr>
          <w:noProof/>
          <w:lang w:eastAsia="de-DE"/>
        </w:rPr>
        <w:drawing>
          <wp:inline distT="0" distB="0" distL="0" distR="0" wp14:anchorId="4680B003" wp14:editId="51ED4672">
            <wp:extent cx="1720112" cy="216000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0160802_153526.jpg"/>
                    <pic:cNvPicPr/>
                  </pic:nvPicPr>
                  <pic:blipFill>
                    <a:blip r:embed="rId15" cstate="email">
                      <a:extLst>
                        <a:ext uri="{28A0092B-C50C-407E-A947-70E740481C1C}">
                          <a14:useLocalDpi xmlns:a14="http://schemas.microsoft.com/office/drawing/2010/main"/>
                        </a:ext>
                      </a:extLst>
                    </a:blip>
                    <a:stretch>
                      <a:fillRect/>
                    </a:stretch>
                  </pic:blipFill>
                  <pic:spPr>
                    <a:xfrm>
                      <a:off x="0" y="0"/>
                      <a:ext cx="1720112" cy="2160000"/>
                    </a:xfrm>
                    <a:prstGeom prst="rect">
                      <a:avLst/>
                    </a:prstGeom>
                  </pic:spPr>
                </pic:pic>
              </a:graphicData>
            </a:graphic>
          </wp:inline>
        </w:drawing>
      </w:r>
      <w:r>
        <w:t xml:space="preserve">  </w:t>
      </w:r>
      <w:r>
        <w:rPr>
          <w:noProof/>
          <w:lang w:eastAsia="de-DE"/>
        </w:rPr>
        <w:drawing>
          <wp:inline distT="0" distB="0" distL="0" distR="0" wp14:anchorId="16B4632D" wp14:editId="214D6E12">
            <wp:extent cx="1969156" cy="216000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0160802_153614.jpg"/>
                    <pic:cNvPicPr/>
                  </pic:nvPicPr>
                  <pic:blipFill>
                    <a:blip r:embed="rId16" cstate="email">
                      <a:extLst>
                        <a:ext uri="{28A0092B-C50C-407E-A947-70E740481C1C}">
                          <a14:useLocalDpi xmlns:a14="http://schemas.microsoft.com/office/drawing/2010/main"/>
                        </a:ext>
                      </a:extLst>
                    </a:blip>
                    <a:stretch>
                      <a:fillRect/>
                    </a:stretch>
                  </pic:blipFill>
                  <pic:spPr>
                    <a:xfrm>
                      <a:off x="0" y="0"/>
                      <a:ext cx="1969156" cy="2160000"/>
                    </a:xfrm>
                    <a:prstGeom prst="rect">
                      <a:avLst/>
                    </a:prstGeom>
                  </pic:spPr>
                </pic:pic>
              </a:graphicData>
            </a:graphic>
          </wp:inline>
        </w:drawing>
      </w:r>
    </w:p>
    <w:p w:rsidR="00DD51D2" w:rsidRPr="00E455CF" w:rsidRDefault="00DD51D2" w:rsidP="00DD51D2">
      <w:pPr>
        <w:pStyle w:val="Beschriftung"/>
        <w:jc w:val="center"/>
      </w:pPr>
      <w:r>
        <w:t xml:space="preserve">Abb. </w:t>
      </w:r>
      <w:fldSimple w:instr=" SEQ Abb. \* ARABIC ">
        <w:r w:rsidR="00587EA1">
          <w:rPr>
            <w:noProof/>
          </w:rPr>
          <w:t>1</w:t>
        </w:r>
      </w:fldSimple>
      <w:r>
        <w:t xml:space="preserve"> – </w:t>
      </w:r>
      <w:r>
        <w:rPr>
          <w:noProof/>
        </w:rPr>
        <w:t>Zinkoxid-Lösung mit Methylenblau (EtOH links, H</w:t>
      </w:r>
      <w:r>
        <w:rPr>
          <w:noProof/>
          <w:vertAlign w:val="subscript"/>
        </w:rPr>
        <w:t>2</w:t>
      </w:r>
      <w:r>
        <w:rPr>
          <w:noProof/>
        </w:rPr>
        <w:t>O rechts) vor Belichtung (links), Zinkoxid-Lösung mit Methylenblau-Lösung nach Belichtung (H</w:t>
      </w:r>
      <w:r>
        <w:rPr>
          <w:noProof/>
          <w:vertAlign w:val="subscript"/>
        </w:rPr>
        <w:t>2</w:t>
      </w:r>
      <w:r>
        <w:rPr>
          <w:noProof/>
        </w:rPr>
        <w:t>O Mitte, EtOH rechts).</w:t>
      </w:r>
    </w:p>
    <w:p w:rsidR="00DD51D2" w:rsidRDefault="00DD51D2" w:rsidP="00DD51D2">
      <w:pPr>
        <w:tabs>
          <w:tab w:val="left" w:pos="1701"/>
          <w:tab w:val="left" w:pos="1985"/>
        </w:tabs>
        <w:ind w:left="1985" w:hanging="2124"/>
      </w:pPr>
      <w:r>
        <w:t>Deutung:</w:t>
      </w:r>
      <w:r>
        <w:tab/>
      </w:r>
      <w:r>
        <w:tab/>
        <w:t>In Wasser wachsen die Zinkoxid-Nanopartikel, sodass diese am Boden ausfallen. Dieses Partikelwachstum verläuft nach dem Prinzip der Ostwald-Reifung, indem die kleinsten Teilchen sich zugunsten der größeren Teilchen auflösen. Mithilfe des Ethanols soll diese Reifung verhindert werden. Allerdings löst sich im Ethanol weniger Sauerstoff, der wiederrum für die Oxidation der Nanopartikel von Bedeutung ist.</w:t>
      </w:r>
    </w:p>
    <w:p w:rsidR="00DD51D2" w:rsidRDefault="00DD51D2" w:rsidP="00DD51D2">
      <w:pPr>
        <w:tabs>
          <w:tab w:val="left" w:pos="1701"/>
          <w:tab w:val="left" w:pos="1985"/>
        </w:tabs>
        <w:ind w:left="1985" w:hanging="2124"/>
        <w:rPr>
          <w:color w:val="auto"/>
        </w:rPr>
      </w:pPr>
      <w:r>
        <w:tab/>
      </w:r>
      <w:r>
        <w:tab/>
        <w:t xml:space="preserve">Die Zinkoxid-Nanopartikel dienen als </w:t>
      </w:r>
      <w:proofErr w:type="spellStart"/>
      <w:r>
        <w:t>Photokatalysatoren</w:t>
      </w:r>
      <w:proofErr w:type="spellEnd"/>
      <w:r>
        <w:t xml:space="preserve"> und können unter Einwirkung von UV-Licht organische Verbindungen, wie Methylenblau, </w:t>
      </w:r>
      <w:r w:rsidRPr="00E466B8">
        <w:rPr>
          <w:color w:val="auto"/>
        </w:rPr>
        <w:t xml:space="preserve">abbauen. </w:t>
      </w:r>
      <w:r>
        <w:rPr>
          <w:color w:val="auto"/>
        </w:rPr>
        <w:t xml:space="preserve">Durch die Einwirkung von Strahlung, deren Energie größer ist als die der Bandlücke des Halbleiters </w:t>
      </w:r>
      <w:proofErr w:type="spellStart"/>
      <w:r>
        <w:rPr>
          <w:color w:val="auto"/>
        </w:rPr>
        <w:t>ZnO</w:t>
      </w:r>
      <w:proofErr w:type="spellEnd"/>
      <w:r>
        <w:rPr>
          <w:color w:val="auto"/>
        </w:rPr>
        <w:t>, können Elektronen angeregt und von dem Valenz- in das Leitungsband transferiert werden. Es entstehen sogenannte Elektron-Loch-Paare, bestehend aus den Elektronen im Leitungsband (</w:t>
      </w:r>
      <w:proofErr w:type="spellStart"/>
      <w:r>
        <w:rPr>
          <w:color w:val="auto"/>
        </w:rPr>
        <w:t>e</w:t>
      </w:r>
      <w:r>
        <w:rPr>
          <w:color w:val="auto"/>
          <w:vertAlign w:val="subscript"/>
        </w:rPr>
        <w:t>LB</w:t>
      </w:r>
      <w:proofErr w:type="spellEnd"/>
      <w:r>
        <w:rPr>
          <w:color w:val="auto"/>
          <w:vertAlign w:val="superscript"/>
        </w:rPr>
        <w:t>-</w:t>
      </w:r>
      <w:r w:rsidRPr="005F5787">
        <w:rPr>
          <w:color w:val="auto"/>
        </w:rPr>
        <w:t xml:space="preserve">) </w:t>
      </w:r>
      <w:r>
        <w:rPr>
          <w:color w:val="auto"/>
        </w:rPr>
        <w:t>und Elektronenfehlstellen im Valenzband (</w:t>
      </w:r>
      <w:proofErr w:type="spellStart"/>
      <w:r>
        <w:rPr>
          <w:color w:val="auto"/>
        </w:rPr>
        <w:t>h</w:t>
      </w:r>
      <w:r>
        <w:rPr>
          <w:color w:val="auto"/>
          <w:vertAlign w:val="subscript"/>
        </w:rPr>
        <w:t>VB</w:t>
      </w:r>
      <w:proofErr w:type="spellEnd"/>
      <w:r>
        <w:rPr>
          <w:color w:val="auto"/>
          <w:vertAlign w:val="superscript"/>
        </w:rPr>
        <w:t>+</w:t>
      </w:r>
      <w:r>
        <w:rPr>
          <w:color w:val="auto"/>
        </w:rPr>
        <w:t xml:space="preserve">). Moleküle wie Wasser oder Hydroxid-Ionen, die an der </w:t>
      </w:r>
      <w:proofErr w:type="spellStart"/>
      <w:r>
        <w:rPr>
          <w:color w:val="auto"/>
        </w:rPr>
        <w:t>ZnO</w:t>
      </w:r>
      <w:proofErr w:type="spellEnd"/>
      <w:r>
        <w:rPr>
          <w:color w:val="auto"/>
        </w:rPr>
        <w:t>-Partikeloberfläche adsorbiert sind, können zu verschiedenen Radikalen oxidiert und reduziert werden.</w:t>
      </w:r>
    </w:p>
    <w:p w:rsidR="00DD51D2" w:rsidRPr="004C07B0" w:rsidRDefault="00587EA1" w:rsidP="00DD51D2">
      <w:pPr>
        <w:tabs>
          <w:tab w:val="left" w:pos="1701"/>
          <w:tab w:val="left" w:pos="1985"/>
        </w:tabs>
        <w:ind w:left="1985" w:hanging="2124"/>
        <w:rPr>
          <w:rFonts w:eastAsiaTheme="minorEastAsia"/>
          <w:color w:val="auto"/>
        </w:rPr>
      </w:pPr>
      <m:oMathPara>
        <m:oMath>
          <m:sSubSup>
            <m:sSubSupPr>
              <m:ctrlPr>
                <w:rPr>
                  <w:rFonts w:ascii="Cambria Math" w:eastAsiaTheme="minorEastAsia" w:hAnsi="Cambria Math"/>
                  <w:i/>
                  <w:color w:val="auto"/>
                </w:rPr>
              </m:ctrlPr>
            </m:sSubSupPr>
            <m:e>
              <m:r>
                <w:rPr>
                  <w:rFonts w:ascii="Cambria Math" w:eastAsiaTheme="minorEastAsia" w:hAnsi="Cambria Math"/>
                  <w:color w:val="auto"/>
                </w:rPr>
                <m:t>h</m:t>
              </m:r>
            </m:e>
            <m:sub>
              <m:r>
                <w:rPr>
                  <w:rFonts w:ascii="Cambria Math" w:eastAsiaTheme="minorEastAsia" w:hAnsi="Cambria Math"/>
                  <w:color w:val="auto"/>
                </w:rPr>
                <m:t>VB</m:t>
              </m:r>
            </m:sub>
            <m:sup>
              <m:r>
                <w:rPr>
                  <w:rFonts w:ascii="Cambria Math" w:eastAsiaTheme="minorEastAsia" w:hAnsi="Cambria Math"/>
                  <w:color w:val="auto"/>
                </w:rPr>
                <m:t>+</m:t>
              </m:r>
            </m:sup>
          </m:sSubSup>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r>
            <w:rPr>
              <w:rFonts w:ascii="Cambria Math" w:eastAsiaTheme="minorEastAsia" w:hAnsi="Cambria Math"/>
              <w:color w:val="auto"/>
            </w:rPr>
            <m:t>O→OH∙+</m:t>
          </m:r>
          <m:sSup>
            <m:sSupPr>
              <m:ctrlPr>
                <w:rPr>
                  <w:rFonts w:ascii="Cambria Math" w:eastAsiaTheme="minorEastAsia" w:hAnsi="Cambria Math"/>
                  <w:i/>
                  <w:color w:val="auto"/>
                </w:rPr>
              </m:ctrlPr>
            </m:sSupPr>
            <m:e>
              <m:r>
                <w:rPr>
                  <w:rFonts w:ascii="Cambria Math" w:eastAsiaTheme="minorEastAsia" w:hAnsi="Cambria Math"/>
                  <w:color w:val="auto"/>
                </w:rPr>
                <m:t>H</m:t>
              </m:r>
            </m:e>
            <m:sup>
              <m:r>
                <w:rPr>
                  <w:rFonts w:ascii="Cambria Math" w:eastAsiaTheme="minorEastAsia" w:hAnsi="Cambria Math"/>
                  <w:color w:val="auto"/>
                </w:rPr>
                <m:t>+</m:t>
              </m:r>
            </m:sup>
          </m:sSup>
        </m:oMath>
      </m:oMathPara>
    </w:p>
    <w:p w:rsidR="00DD51D2" w:rsidRPr="005F5787" w:rsidRDefault="00587EA1" w:rsidP="00DD51D2">
      <w:pPr>
        <w:tabs>
          <w:tab w:val="left" w:pos="1701"/>
          <w:tab w:val="left" w:pos="1985"/>
        </w:tabs>
        <w:ind w:left="1985" w:hanging="2124"/>
        <w:rPr>
          <w:rFonts w:eastAsiaTheme="minorEastAsia"/>
          <w:color w:val="auto"/>
        </w:rPr>
      </w:pPr>
      <m:oMathPara>
        <m:oMath>
          <m:sSubSup>
            <m:sSubSupPr>
              <m:ctrlPr>
                <w:rPr>
                  <w:rFonts w:ascii="Cambria Math" w:eastAsiaTheme="minorEastAsia" w:hAnsi="Cambria Math"/>
                  <w:i/>
                  <w:color w:val="auto"/>
                </w:rPr>
              </m:ctrlPr>
            </m:sSubSupPr>
            <m:e>
              <m:r>
                <w:rPr>
                  <w:rFonts w:ascii="Cambria Math" w:eastAsiaTheme="minorEastAsia" w:hAnsi="Cambria Math"/>
                  <w:color w:val="auto"/>
                </w:rPr>
                <m:t>h</m:t>
              </m:r>
            </m:e>
            <m:sub>
              <m:r>
                <w:rPr>
                  <w:rFonts w:ascii="Cambria Math" w:eastAsiaTheme="minorEastAsia" w:hAnsi="Cambria Math"/>
                  <w:color w:val="auto"/>
                </w:rPr>
                <m:t>VB</m:t>
              </m:r>
            </m:sub>
            <m:sup>
              <m:r>
                <w:rPr>
                  <w:rFonts w:ascii="Cambria Math" w:eastAsiaTheme="minorEastAsia" w:hAnsi="Cambria Math"/>
                  <w:color w:val="auto"/>
                </w:rPr>
                <m:t>+</m:t>
              </m:r>
            </m:sup>
          </m:sSubSup>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OH</m:t>
              </m:r>
            </m:e>
            <m:sup>
              <m:r>
                <w:rPr>
                  <w:rFonts w:ascii="Cambria Math" w:eastAsiaTheme="minorEastAsia" w:hAnsi="Cambria Math"/>
                  <w:color w:val="auto"/>
                </w:rPr>
                <m:t>-</m:t>
              </m:r>
            </m:sup>
          </m:sSup>
          <m:r>
            <w:rPr>
              <w:rFonts w:ascii="Cambria Math" w:eastAsiaTheme="minorEastAsia" w:hAnsi="Cambria Math"/>
              <w:color w:val="auto"/>
            </w:rPr>
            <m:t>→OH∙</m:t>
          </m:r>
        </m:oMath>
      </m:oMathPara>
    </w:p>
    <w:p w:rsidR="00DD51D2" w:rsidRPr="00761B87" w:rsidRDefault="00587EA1" w:rsidP="00DD51D2">
      <w:pPr>
        <w:tabs>
          <w:tab w:val="left" w:pos="1701"/>
          <w:tab w:val="left" w:pos="1985"/>
        </w:tabs>
        <w:ind w:left="1985"/>
        <w:rPr>
          <w:rFonts w:eastAsiaTheme="minorEastAsia"/>
          <w:color w:val="auto"/>
        </w:rPr>
      </w:pPr>
      <m:oMathPara>
        <m:oMath>
          <m:sSubSup>
            <m:sSubSupPr>
              <m:ctrlPr>
                <w:rPr>
                  <w:rFonts w:ascii="Cambria Math" w:eastAsiaTheme="minorEastAsia" w:hAnsi="Cambria Math"/>
                  <w:i/>
                  <w:color w:val="auto"/>
                </w:rPr>
              </m:ctrlPr>
            </m:sSubSupPr>
            <m:e>
              <m:r>
                <w:rPr>
                  <w:rFonts w:ascii="Cambria Math" w:eastAsiaTheme="minorEastAsia" w:hAnsi="Cambria Math"/>
                  <w:color w:val="auto"/>
                </w:rPr>
                <m:t>e</m:t>
              </m:r>
            </m:e>
            <m:sub>
              <m:r>
                <w:rPr>
                  <w:rFonts w:ascii="Cambria Math" w:eastAsiaTheme="minorEastAsia" w:hAnsi="Cambria Math"/>
                  <w:color w:val="auto"/>
                </w:rPr>
                <m:t>LB</m:t>
              </m:r>
            </m:sub>
            <m:sup>
              <m:r>
                <w:rPr>
                  <w:rFonts w:ascii="Cambria Math" w:eastAsiaTheme="minorEastAsia" w:hAnsi="Cambria Math"/>
                  <w:color w:val="auto"/>
                </w:rPr>
                <m:t>-</m:t>
              </m:r>
            </m:sup>
          </m:sSubSup>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O</m:t>
              </m:r>
            </m:e>
            <m:sub>
              <m:r>
                <w:rPr>
                  <w:rFonts w:ascii="Cambria Math" w:eastAsiaTheme="minorEastAsia" w:hAnsi="Cambria Math"/>
                  <w:color w:val="auto"/>
                </w:rPr>
                <m:t>2</m:t>
              </m:r>
            </m:sub>
          </m:sSub>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H</m:t>
              </m:r>
            </m:e>
            <m:sup>
              <m:r>
                <w:rPr>
                  <w:rFonts w:ascii="Cambria Math" w:eastAsiaTheme="minorEastAsia" w:hAnsi="Cambria Math"/>
                  <w:color w:val="auto"/>
                </w:rPr>
                <m:t>+</m:t>
              </m:r>
            </m:sup>
          </m:sSup>
          <m:r>
            <w:rPr>
              <w:rFonts w:ascii="Cambria Math" w:eastAsiaTheme="minorEastAsia" w:hAnsi="Cambria Math"/>
              <w:color w:val="auto"/>
            </w:rPr>
            <m:t>→</m:t>
          </m:r>
          <m:sSubSup>
            <m:sSubSupPr>
              <m:ctrlPr>
                <w:rPr>
                  <w:rFonts w:ascii="Cambria Math" w:eastAsiaTheme="minorEastAsia" w:hAnsi="Cambria Math"/>
                  <w:i/>
                  <w:color w:val="auto"/>
                </w:rPr>
              </m:ctrlPr>
            </m:sSubSupPr>
            <m:e>
              <m:r>
                <w:rPr>
                  <w:rFonts w:ascii="Cambria Math" w:eastAsiaTheme="minorEastAsia" w:hAnsi="Cambria Math"/>
                  <w:color w:val="auto"/>
                </w:rPr>
                <m:t>HO</m:t>
              </m:r>
            </m:e>
            <m:sub>
              <m:r>
                <w:rPr>
                  <w:rFonts w:ascii="Cambria Math" w:eastAsiaTheme="minorEastAsia" w:hAnsi="Cambria Math"/>
                  <w:color w:val="auto"/>
                </w:rPr>
                <m:t>2</m:t>
              </m:r>
            </m:sub>
            <m:sup>
              <m:r>
                <w:rPr>
                  <w:rFonts w:ascii="Cambria Math" w:eastAsiaTheme="minorEastAsia" w:hAnsi="Cambria Math"/>
                  <w:color w:val="auto"/>
                </w:rPr>
                <m:t>-</m:t>
              </m:r>
            </m:sup>
          </m:sSubSup>
          <m:r>
            <w:rPr>
              <w:rFonts w:ascii="Cambria Math" w:eastAsiaTheme="minorEastAsia" w:hAnsi="Cambria Math"/>
              <w:color w:val="auto"/>
            </w:rPr>
            <m:t>∙</m:t>
          </m:r>
        </m:oMath>
      </m:oMathPara>
    </w:p>
    <w:p w:rsidR="00DD51D2" w:rsidRPr="00996277" w:rsidRDefault="00DD51D2" w:rsidP="00DD51D2">
      <w:pPr>
        <w:tabs>
          <w:tab w:val="left" w:pos="1701"/>
          <w:tab w:val="left" w:pos="1985"/>
        </w:tabs>
        <w:ind w:left="1985" w:firstLine="3"/>
        <w:rPr>
          <w:rFonts w:eastAsiaTheme="minorEastAsia"/>
          <w:color w:val="auto"/>
        </w:rPr>
      </w:pPr>
      <w:r>
        <w:rPr>
          <w:rFonts w:eastAsiaTheme="minorEastAsia"/>
          <w:color w:val="auto"/>
        </w:rPr>
        <w:t>Die entstehenden Radikale reagieren im Anschluss mit dem Methylenblau, welches vollständig zu Kohlenstoffdioxid und Wasser zersetzt wird.</w:t>
      </w:r>
    </w:p>
    <w:p w:rsidR="00DD51D2" w:rsidRDefault="00DD51D2" w:rsidP="00DD51D2">
      <w:pPr>
        <w:tabs>
          <w:tab w:val="left" w:pos="1701"/>
          <w:tab w:val="left" w:pos="1985"/>
        </w:tabs>
        <w:ind w:left="1985"/>
        <w:rPr>
          <w:rFonts w:eastAsiaTheme="minorEastAsia"/>
          <w:color w:val="auto"/>
        </w:rPr>
      </w:pPr>
      <w:r>
        <w:rPr>
          <w:rFonts w:eastAsiaTheme="minorEastAsia"/>
          <w:color w:val="auto"/>
        </w:rPr>
        <w:lastRenderedPageBreak/>
        <w:t xml:space="preserve">Wie bereits oben erwähnt, ist die Sauerstoffkonzentration in der </w:t>
      </w:r>
      <w:proofErr w:type="spellStart"/>
      <w:r>
        <w:rPr>
          <w:rFonts w:eastAsiaTheme="minorEastAsia"/>
          <w:color w:val="auto"/>
        </w:rPr>
        <w:t>ethanolischen</w:t>
      </w:r>
      <w:proofErr w:type="spellEnd"/>
      <w:r>
        <w:rPr>
          <w:rFonts w:eastAsiaTheme="minorEastAsia"/>
          <w:color w:val="auto"/>
        </w:rPr>
        <w:t xml:space="preserve"> Lösung geringer als in der wässrigen Lösung, wodurch der Sauerstoff nicht an der Oberfläche der Nanopartikel reduziert werden kann. Stattdessen wird Methylenblau von der Oberfläche der </w:t>
      </w:r>
      <w:proofErr w:type="spellStart"/>
      <w:r>
        <w:rPr>
          <w:rFonts w:eastAsiaTheme="minorEastAsia"/>
          <w:color w:val="auto"/>
        </w:rPr>
        <w:t>ZnO</w:t>
      </w:r>
      <w:proofErr w:type="spellEnd"/>
      <w:r>
        <w:rPr>
          <w:rFonts w:eastAsiaTheme="minorEastAsia"/>
          <w:color w:val="auto"/>
        </w:rPr>
        <w:t xml:space="preserve">-Nanopartikel adsorbiert und nimmt in das Leitungsband promovierte Elektronen auf. Dadurch wird das Methylenblau, wie im Falle der wässrigen Lösung, nicht zersetzt, sondern reduziert und somit in die Leukoform überführt, weshalb es </w:t>
      </w:r>
      <w:proofErr w:type="gramStart"/>
      <w:r>
        <w:rPr>
          <w:rFonts w:eastAsiaTheme="minorEastAsia"/>
          <w:color w:val="auto"/>
        </w:rPr>
        <w:t>farbloserscheint .</w:t>
      </w:r>
      <w:proofErr w:type="gramEnd"/>
      <w:r>
        <w:rPr>
          <w:rFonts w:eastAsiaTheme="minorEastAsia"/>
          <w:color w:val="auto"/>
        </w:rPr>
        <w:t xml:space="preserve"> Bei Einleitung von Sauerstoff in die Lösung kommt es wiederum zur Oxidation des Methylenblaus und dieses erscheint blau. Daher ist die Lösung am oberen Rand intensiver blau gefärbt als am Boden des Becherglases. Durch Schütteln wird der Sauerstoff in der gesamten Lösung verteilt, woraufhin diese sich vollständig blau färbt. </w:t>
      </w:r>
    </w:p>
    <w:p w:rsidR="00DD51D2" w:rsidRDefault="00DD51D2" w:rsidP="00DD51D2">
      <w:pPr>
        <w:pStyle w:val="Beschriftung"/>
        <w:jc w:val="center"/>
      </w:pPr>
      <w:r>
        <w:rPr>
          <w:noProof/>
          <w:lang w:eastAsia="de-DE"/>
        </w:rPr>
        <w:drawing>
          <wp:inline distT="0" distB="0" distL="0" distR="0" wp14:anchorId="32846F46" wp14:editId="1DAD95E4">
            <wp:extent cx="4781550" cy="129500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ethylenblau.png"/>
                    <pic:cNvPicPr/>
                  </pic:nvPicPr>
                  <pic:blipFill>
                    <a:blip r:embed="rId17" cstate="email">
                      <a:extLst>
                        <a:ext uri="{28A0092B-C50C-407E-A947-70E740481C1C}">
                          <a14:useLocalDpi xmlns:a14="http://schemas.microsoft.com/office/drawing/2010/main"/>
                        </a:ext>
                      </a:extLst>
                    </a:blip>
                    <a:stretch>
                      <a:fillRect/>
                    </a:stretch>
                  </pic:blipFill>
                  <pic:spPr>
                    <a:xfrm>
                      <a:off x="0" y="0"/>
                      <a:ext cx="4793194" cy="1298157"/>
                    </a:xfrm>
                    <a:prstGeom prst="rect">
                      <a:avLst/>
                    </a:prstGeom>
                  </pic:spPr>
                </pic:pic>
              </a:graphicData>
            </a:graphic>
          </wp:inline>
        </w:drawing>
      </w:r>
    </w:p>
    <w:p w:rsidR="00DD51D2" w:rsidRPr="00E455CF" w:rsidRDefault="00DD51D2" w:rsidP="00DD51D2">
      <w:pPr>
        <w:pStyle w:val="Beschriftung"/>
        <w:jc w:val="center"/>
      </w:pPr>
      <w:r>
        <w:t xml:space="preserve">Abb. 2 – </w:t>
      </w:r>
      <w:r>
        <w:rPr>
          <w:noProof/>
        </w:rPr>
        <w:t>Oxidation von Methylenblau.</w:t>
      </w:r>
    </w:p>
    <w:p w:rsidR="00DD51D2" w:rsidRPr="005B0071" w:rsidRDefault="00DD51D2" w:rsidP="00DD51D2">
      <w:pPr>
        <w:tabs>
          <w:tab w:val="left" w:pos="1701"/>
          <w:tab w:val="left" w:pos="1985"/>
        </w:tabs>
        <w:jc w:val="center"/>
        <w:rPr>
          <w:rFonts w:eastAsiaTheme="minorEastAsia"/>
          <w:color w:val="auto"/>
        </w:rPr>
      </w:pPr>
    </w:p>
    <w:p w:rsidR="00DD51D2" w:rsidRDefault="00DD51D2" w:rsidP="00DD51D2">
      <w:pPr>
        <w:spacing w:line="276" w:lineRule="auto"/>
        <w:ind w:left="2124" w:hanging="2124"/>
        <w:jc w:val="left"/>
      </w:pPr>
      <w:r>
        <w:t>Entsorgung:</w:t>
      </w:r>
      <w:r>
        <w:tab/>
        <w:t xml:space="preserve">Die Lösungen können über das Abwasser entsorgt werden. </w:t>
      </w:r>
    </w:p>
    <w:p w:rsidR="00DD51D2" w:rsidRDefault="00DD51D2" w:rsidP="00DD51D2">
      <w:pPr>
        <w:spacing w:line="276" w:lineRule="auto"/>
        <w:ind w:left="2124" w:hanging="2124"/>
        <w:jc w:val="left"/>
        <w:rPr>
          <w:color w:val="auto"/>
        </w:rPr>
      </w:pPr>
      <w:r>
        <w:t>Literatur:</w:t>
      </w:r>
      <w:r>
        <w:tab/>
      </w:r>
      <w:r>
        <w:rPr>
          <w:color w:val="auto"/>
        </w:rPr>
        <w:t xml:space="preserve">[1] T. Wilke, Anorganisches Grundpraktikum für Lehramtskandidaten „Nanoversuche“, </w:t>
      </w:r>
      <w:proofErr w:type="spellStart"/>
      <w:r>
        <w:rPr>
          <w:color w:val="auto"/>
        </w:rPr>
        <w:t>WiSe</w:t>
      </w:r>
      <w:proofErr w:type="spellEnd"/>
      <w:r>
        <w:rPr>
          <w:color w:val="auto"/>
        </w:rPr>
        <w:t xml:space="preserve"> 2013/14</w:t>
      </w:r>
    </w:p>
    <w:p w:rsidR="00DD51D2" w:rsidRDefault="00DD51D2" w:rsidP="00DD51D2">
      <w:pPr>
        <w:spacing w:line="276" w:lineRule="auto"/>
        <w:ind w:left="2124" w:hanging="2124"/>
        <w:jc w:val="left"/>
        <w:rPr>
          <w:color w:val="auto"/>
        </w:rPr>
      </w:pPr>
      <w:r>
        <w:rPr>
          <w:color w:val="auto"/>
        </w:rPr>
        <w:tab/>
        <w:t xml:space="preserve">[2] A. Steinkuhle, Bachelorarbeit - Synthese und Charakterisierung von Zinkoxid-Nanopartikeln für Schulexperimente, S. 37 </w:t>
      </w:r>
      <w:proofErr w:type="gramStart"/>
      <w:r>
        <w:rPr>
          <w:color w:val="auto"/>
        </w:rPr>
        <w:t>ff..</w:t>
      </w:r>
      <w:proofErr w:type="gramEnd"/>
    </w:p>
    <w:p w:rsidR="00DD51D2" w:rsidRPr="00996277" w:rsidRDefault="00DD51D2" w:rsidP="00DD51D2">
      <w:pPr>
        <w:spacing w:line="276" w:lineRule="auto"/>
        <w:ind w:left="2124" w:hanging="2124"/>
        <w:jc w:val="left"/>
        <w:rPr>
          <w:color w:val="auto"/>
        </w:rPr>
      </w:pPr>
    </w:p>
    <w:p w:rsidR="00DD51D2" w:rsidRDefault="00DD51D2" w:rsidP="00DD51D2">
      <w:pPr>
        <w:tabs>
          <w:tab w:val="left" w:pos="1701"/>
          <w:tab w:val="left" w:pos="1985"/>
        </w:tabs>
        <w:ind w:left="1980" w:hanging="1980"/>
      </w:pPr>
      <w:r>
        <w:rPr>
          <w:noProof/>
          <w:lang w:eastAsia="de-DE"/>
        </w:rPr>
        <mc:AlternateContent>
          <mc:Choice Requires="wps">
            <w:drawing>
              <wp:inline distT="0" distB="0" distL="0" distR="0" wp14:anchorId="275C0DEB" wp14:editId="118EABCB">
                <wp:extent cx="5873115" cy="10858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58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51D2" w:rsidRPr="00F31EBF" w:rsidRDefault="00DD51D2" w:rsidP="00DD51D2">
                            <w:pPr>
                              <w:rPr>
                                <w:color w:val="auto"/>
                              </w:rPr>
                            </w:pPr>
                            <w:r w:rsidRPr="00F31EBF">
                              <w:rPr>
                                <w:b/>
                                <w:color w:val="auto"/>
                              </w:rPr>
                              <w:t>Unterrichtsanschlüsse</w:t>
                            </w:r>
                            <w:r>
                              <w:rPr>
                                <w:b/>
                                <w:color w:val="auto"/>
                              </w:rPr>
                              <w:t>:</w:t>
                            </w:r>
                            <w:r w:rsidRPr="00F31EBF">
                              <w:rPr>
                                <w:b/>
                                <w:color w:val="auto"/>
                              </w:rPr>
                              <w:t xml:space="preserve"> </w:t>
                            </w:r>
                            <w:r>
                              <w:rPr>
                                <w:color w:val="auto"/>
                              </w:rPr>
                              <w:t xml:space="preserve">Im Anschluss können Anwendungsbereiche für Nanopartikel sowie weitere </w:t>
                            </w:r>
                            <w:proofErr w:type="spellStart"/>
                            <w:r>
                              <w:rPr>
                                <w:color w:val="auto"/>
                              </w:rPr>
                              <w:t>Photokatalysen</w:t>
                            </w:r>
                            <w:proofErr w:type="spellEnd"/>
                            <w:r>
                              <w:rPr>
                                <w:color w:val="auto"/>
                              </w:rPr>
                              <w:t xml:space="preserve"> thematisiert werden. Ebenso kann </w:t>
                            </w:r>
                            <w:r w:rsidRPr="00E466B8">
                              <w:rPr>
                                <w:color w:val="auto"/>
                              </w:rPr>
                              <w:t xml:space="preserve">auf den Einfluss von Radikalen </w:t>
                            </w:r>
                            <w:r>
                              <w:rPr>
                                <w:color w:val="auto"/>
                              </w:rPr>
                              <w:t xml:space="preserve">bei katalytischen Reaktionen eingegangen werden. Das Verhalten von Methylenblau in Wasser und Ethanol ohne Zugabe von </w:t>
                            </w:r>
                            <w:proofErr w:type="spellStart"/>
                            <w:r>
                              <w:rPr>
                                <w:color w:val="auto"/>
                              </w:rPr>
                              <w:t>ZnO</w:t>
                            </w:r>
                            <w:proofErr w:type="spellEnd"/>
                            <w:r>
                              <w:rPr>
                                <w:color w:val="auto"/>
                              </w:rPr>
                              <w:t>-Nanopartikeln kann ebenfalls untersucht werden.</w:t>
                            </w:r>
                          </w:p>
                        </w:txbxContent>
                      </wps:txbx>
                      <wps:bodyPr rot="0" vert="horz" wrap="square" lIns="91440" tIns="45720" rIns="91440" bIns="45720" anchor="t" anchorCtr="0" upright="1">
                        <a:noAutofit/>
                      </wps:bodyPr>
                    </wps:wsp>
                  </a:graphicData>
                </a:graphic>
              </wp:inline>
            </w:drawing>
          </mc:Choice>
          <mc:Fallback>
            <w:pict>
              <v:shape w14:anchorId="275C0DEB" id="Text Box 131" o:spid="_x0000_s1027" type="#_x0000_t202" style="width:462.4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" fillcolor="white [3201]" strokecolor="#ed7d31 [3205]" strokeweight="1pt">
                <v:stroke dashstyle="dash"/>
                <v:shadow color="#868686"/>
                <v:textbox>
                  <w:txbxContent>
                    <w:p w:rsidR="00DD51D2" w:rsidRPr="00F31EBF" w:rsidRDefault="00DD51D2" w:rsidP="00DD51D2">
                      <w:pPr>
                        <w:rPr>
                          <w:color w:val="auto"/>
                        </w:rPr>
                      </w:pPr>
                      <w:r w:rsidRPr="00F31EBF">
                        <w:rPr>
                          <w:b/>
                          <w:color w:val="auto"/>
                        </w:rPr>
                        <w:t>Unterrichtsanschlüsse</w:t>
                      </w:r>
                      <w:r>
                        <w:rPr>
                          <w:b/>
                          <w:color w:val="auto"/>
                        </w:rPr>
                        <w:t>:</w:t>
                      </w:r>
                      <w:r w:rsidRPr="00F31EBF">
                        <w:rPr>
                          <w:b/>
                          <w:color w:val="auto"/>
                        </w:rPr>
                        <w:t xml:space="preserve"> </w:t>
                      </w:r>
                      <w:r>
                        <w:rPr>
                          <w:color w:val="auto"/>
                        </w:rPr>
                        <w:t xml:space="preserve">Im Anschluss können Anwendungsbereiche für Nanopartikel sowie weitere </w:t>
                      </w:r>
                      <w:proofErr w:type="spellStart"/>
                      <w:r>
                        <w:rPr>
                          <w:color w:val="auto"/>
                        </w:rPr>
                        <w:t>Photokatalysen</w:t>
                      </w:r>
                      <w:proofErr w:type="spellEnd"/>
                      <w:r>
                        <w:rPr>
                          <w:color w:val="auto"/>
                        </w:rPr>
                        <w:t xml:space="preserve"> thematisiert werden. Ebenso kann </w:t>
                      </w:r>
                      <w:r w:rsidRPr="00E466B8">
                        <w:rPr>
                          <w:color w:val="auto"/>
                        </w:rPr>
                        <w:t xml:space="preserve">auf den Einfluss von Radikalen </w:t>
                      </w:r>
                      <w:r>
                        <w:rPr>
                          <w:color w:val="auto"/>
                        </w:rPr>
                        <w:t xml:space="preserve">bei katalytischen Reaktionen eingegangen werden. Das Verhalten von Methylenblau in Wasser und Ethanol ohne Zugabe von </w:t>
                      </w:r>
                      <w:proofErr w:type="spellStart"/>
                      <w:r>
                        <w:rPr>
                          <w:color w:val="auto"/>
                        </w:rPr>
                        <w:t>ZnO</w:t>
                      </w:r>
                      <w:proofErr w:type="spellEnd"/>
                      <w:r>
                        <w:rPr>
                          <w:color w:val="auto"/>
                        </w:rPr>
                        <w:t>-Nanopartikeln kann ebenfalls untersucht werden.</w:t>
                      </w:r>
                    </w:p>
                  </w:txbxContent>
                </v:textbox>
                <w10:anchorlock/>
              </v:shape>
            </w:pict>
          </mc:Fallback>
        </mc:AlternateContent>
      </w:r>
    </w:p>
    <w:p w:rsidR="00DD51D2" w:rsidRDefault="00DD51D2" w:rsidP="00DD51D2">
      <w:pPr>
        <w:tabs>
          <w:tab w:val="left" w:pos="1701"/>
          <w:tab w:val="left" w:pos="1985"/>
        </w:tabs>
        <w:ind w:left="1980" w:hanging="1980"/>
      </w:pPr>
    </w:p>
    <w:p w:rsidR="00EB619B" w:rsidRDefault="00587EA1"/>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D2"/>
    <w:rsid w:val="000C761C"/>
    <w:rsid w:val="00125E17"/>
    <w:rsid w:val="00176474"/>
    <w:rsid w:val="0034208B"/>
    <w:rsid w:val="003E3AD9"/>
    <w:rsid w:val="00587EA1"/>
    <w:rsid w:val="00641C7C"/>
    <w:rsid w:val="006B6773"/>
    <w:rsid w:val="006E23EA"/>
    <w:rsid w:val="007633FF"/>
    <w:rsid w:val="00855922"/>
    <w:rsid w:val="00990B4C"/>
    <w:rsid w:val="00A22302"/>
    <w:rsid w:val="00BF1E02"/>
    <w:rsid w:val="00DD5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93CCB-9F8B-4825-98D1-8B205E92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D51D2"/>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D51D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D51D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D51D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D51D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D51D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D51D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D51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51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51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51D2"/>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D51D2"/>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D51D2"/>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D51D2"/>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D51D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D51D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D51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51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51D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D51D2"/>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2</cp:revision>
  <cp:lastPrinted>2016-08-10T07:21:00Z</cp:lastPrinted>
  <dcterms:created xsi:type="dcterms:W3CDTF">2016-08-08T18:48:00Z</dcterms:created>
  <dcterms:modified xsi:type="dcterms:W3CDTF">2016-08-10T07:22:00Z</dcterms:modified>
</cp:coreProperties>
</file>