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3CA" w:rsidRPr="00CC307A" w:rsidRDefault="00DE63CA" w:rsidP="00DE63CA">
      <w:pPr>
        <w:pStyle w:val="berschrift2"/>
        <w:rPr>
          <w:color w:val="auto"/>
        </w:rPr>
      </w:pPr>
      <w:bookmarkStart w:id="0" w:name="_Toc458240996"/>
      <w:r>
        <w:rPr>
          <w:noProof/>
          <w:lang w:eastAsia="de-DE"/>
        </w:rPr>
        <mc:AlternateContent>
          <mc:Choice Requires="wps">
            <w:drawing>
              <wp:anchor distT="0" distB="0" distL="114300" distR="114300" simplePos="0" relativeHeight="251659264" behindDoc="0" locked="0" layoutInCell="1" allowOverlap="1" wp14:anchorId="04D71BEF" wp14:editId="4B575074">
                <wp:simplePos x="0" y="0"/>
                <wp:positionH relativeFrom="margin">
                  <wp:align>left</wp:align>
                </wp:positionH>
                <wp:positionV relativeFrom="paragraph">
                  <wp:posOffset>394971</wp:posOffset>
                </wp:positionV>
                <wp:extent cx="5873115" cy="1047750"/>
                <wp:effectExtent l="0" t="0" r="13335" b="19050"/>
                <wp:wrapSquare wrapText="bothSides"/>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477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E63CA" w:rsidRPr="00F31EBF" w:rsidRDefault="00DE63CA" w:rsidP="00DE63CA">
                            <w:pPr>
                              <w:rPr>
                                <w:color w:val="auto"/>
                              </w:rPr>
                            </w:pPr>
                            <w:r>
                              <w:rPr>
                                <w:color w:val="auto"/>
                              </w:rPr>
                              <w:t xml:space="preserve">Die Oxidation von Alkoholen und Ketonen ist ein langwieriger Prozess, der unter Zuhilfenahme eines Kupferdrahtes beschleunigt werden kann. Die SuS sollten für eine erfolgreiche Auswertung des Versuchs bereits wissen, dass oxidierte Alkohole zunächst Aldehyde und bei einer weiteren Oxidation Carbonsäuren bilden.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D71BEF" id="_x0000_t202" coordsize="21600,21600" o:spt="202" path="m,l,21600r21600,l21600,xe">
                <v:stroke joinstyle="miter"/>
                <v:path gradientshapeok="t" o:connecttype="rect"/>
              </v:shapetype>
              <v:shape id="Text Box 60" o:spid="_x0000_s1026" type="#_x0000_t202" style="position:absolute;left:0;text-align:left;margin-left:0;margin-top:31.1pt;width:462.45pt;height: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" fillcolor="white [3201]" strokecolor="#4472c4 [3208]" strokeweight="1pt">
                <v:stroke dashstyle="dash"/>
                <v:shadow color="#868686"/>
                <v:textbox>
                  <w:txbxContent>
                    <w:p w:rsidR="00DE63CA" w:rsidRPr="00F31EBF" w:rsidRDefault="00DE63CA" w:rsidP="00DE63CA">
                      <w:pPr>
                        <w:rPr>
                          <w:color w:val="auto"/>
                        </w:rPr>
                      </w:pPr>
                      <w:r>
                        <w:rPr>
                          <w:color w:val="auto"/>
                        </w:rPr>
                        <w:t xml:space="preserve">Die Oxidation von Alkoholen und Ketonen ist ein langwieriger Prozess, der unter Zuhilfenahme eines Kupferdrahtes beschleunigt werden kann. Die SuS sollten für eine erfolgreiche Auswertung des Versuchs bereits wissen, dass oxidierte Alkohole zunächst Aldehyde und bei einer weiteren Oxidation Carbonsäuren bilden. </w:t>
                      </w:r>
                    </w:p>
                  </w:txbxContent>
                </v:textbox>
                <w10:wrap type="square" anchorx="margin"/>
              </v:shape>
            </w:pict>
          </mc:Fallback>
        </mc:AlternateContent>
      </w:r>
      <w:r w:rsidRPr="00CC307A">
        <w:rPr>
          <w:color w:val="auto"/>
        </w:rPr>
        <w:t>V2 –</w:t>
      </w:r>
      <w:r>
        <w:rPr>
          <w:color w:val="auto"/>
        </w:rPr>
        <w:t xml:space="preserve"> </w:t>
      </w:r>
      <w:bookmarkStart w:id="1" w:name="_GoBack"/>
      <w:r>
        <w:rPr>
          <w:color w:val="auto"/>
        </w:rPr>
        <w:t>Oxidation von Alkoholen und Ketonen</w:t>
      </w:r>
      <w:bookmarkEnd w:id="0"/>
      <w:bookmarkEnd w:id="1"/>
    </w:p>
    <w:p w:rsidR="00DE63CA" w:rsidRPr="00220757" w:rsidRDefault="00DE63CA" w:rsidP="00DE63CA"/>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E63CA" w:rsidRPr="009C5E28" w:rsidTr="009236E9">
        <w:tc>
          <w:tcPr>
            <w:tcW w:w="9322" w:type="dxa"/>
            <w:gridSpan w:val="9"/>
            <w:shd w:val="clear" w:color="auto" w:fill="4F81BD"/>
            <w:vAlign w:val="center"/>
          </w:tcPr>
          <w:p w:rsidR="00DE63CA" w:rsidRPr="00F31EBF" w:rsidRDefault="00DE63CA" w:rsidP="009236E9">
            <w:pPr>
              <w:spacing w:after="0"/>
              <w:jc w:val="center"/>
              <w:rPr>
                <w:b/>
                <w:bCs/>
                <w:color w:val="FFFFFF" w:themeColor="background1"/>
              </w:rPr>
            </w:pPr>
            <w:r w:rsidRPr="00F31EBF">
              <w:rPr>
                <w:b/>
                <w:bCs/>
                <w:color w:val="FFFFFF" w:themeColor="background1"/>
              </w:rPr>
              <w:t>Gefahrenstoffe</w:t>
            </w:r>
          </w:p>
        </w:tc>
      </w:tr>
      <w:tr w:rsidR="00DE63CA" w:rsidRPr="009C5E28" w:rsidTr="009236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E63CA" w:rsidRPr="006766BA" w:rsidRDefault="00DE63CA" w:rsidP="009236E9">
            <w:pPr>
              <w:spacing w:after="0" w:line="276" w:lineRule="auto"/>
              <w:jc w:val="center"/>
              <w:rPr>
                <w:b/>
                <w:bCs/>
                <w:sz w:val="20"/>
                <w:szCs w:val="20"/>
              </w:rPr>
            </w:pPr>
            <w:r w:rsidRPr="006766BA">
              <w:rPr>
                <w:sz w:val="20"/>
                <w:szCs w:val="20"/>
              </w:rPr>
              <w:t>Wasser</w:t>
            </w:r>
          </w:p>
        </w:tc>
        <w:tc>
          <w:tcPr>
            <w:tcW w:w="3177" w:type="dxa"/>
            <w:gridSpan w:val="3"/>
            <w:tcBorders>
              <w:top w:val="single" w:sz="8" w:space="0" w:color="4F81BD"/>
              <w:bottom w:val="single" w:sz="8" w:space="0" w:color="4F81BD"/>
            </w:tcBorders>
            <w:shd w:val="clear" w:color="auto" w:fill="auto"/>
            <w:vAlign w:val="center"/>
          </w:tcPr>
          <w:p w:rsidR="00DE63CA" w:rsidRPr="006766BA" w:rsidRDefault="00DE63CA" w:rsidP="009236E9">
            <w:pPr>
              <w:spacing w:after="0"/>
              <w:jc w:val="center"/>
              <w:rPr>
                <w:sz w:val="20"/>
                <w:szCs w:val="20"/>
              </w:rPr>
            </w:pPr>
            <w:r w:rsidRPr="006766BA">
              <w:rPr>
                <w:sz w:val="20"/>
                <w:szCs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E63CA" w:rsidRPr="006766BA" w:rsidRDefault="00DE63CA" w:rsidP="009236E9">
            <w:pPr>
              <w:spacing w:after="0"/>
              <w:jc w:val="center"/>
              <w:rPr>
                <w:sz w:val="20"/>
                <w:szCs w:val="20"/>
              </w:rPr>
            </w:pPr>
            <w:r w:rsidRPr="006766BA">
              <w:rPr>
                <w:sz w:val="20"/>
                <w:szCs w:val="20"/>
              </w:rPr>
              <w:t>P: -</w:t>
            </w:r>
          </w:p>
        </w:tc>
      </w:tr>
      <w:tr w:rsidR="00DE63CA" w:rsidRPr="009C5E28" w:rsidTr="009236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E63CA" w:rsidRPr="006766BA" w:rsidRDefault="00DE63CA" w:rsidP="009236E9">
            <w:pPr>
              <w:spacing w:after="0" w:line="276" w:lineRule="auto"/>
              <w:jc w:val="center"/>
              <w:rPr>
                <w:sz w:val="20"/>
                <w:szCs w:val="20"/>
              </w:rPr>
            </w:pPr>
            <w:r w:rsidRPr="006766BA">
              <w:rPr>
                <w:sz w:val="20"/>
                <w:szCs w:val="20"/>
              </w:rPr>
              <w:t>Aceton</w:t>
            </w:r>
          </w:p>
        </w:tc>
        <w:tc>
          <w:tcPr>
            <w:tcW w:w="3177" w:type="dxa"/>
            <w:gridSpan w:val="3"/>
            <w:tcBorders>
              <w:top w:val="single" w:sz="8" w:space="0" w:color="4F81BD"/>
              <w:bottom w:val="single" w:sz="8" w:space="0" w:color="4F81BD"/>
            </w:tcBorders>
            <w:shd w:val="clear" w:color="auto" w:fill="auto"/>
            <w:vAlign w:val="center"/>
          </w:tcPr>
          <w:p w:rsidR="00DE63CA" w:rsidRPr="006766BA" w:rsidRDefault="00DE63CA" w:rsidP="009236E9">
            <w:pPr>
              <w:spacing w:after="0"/>
              <w:jc w:val="center"/>
              <w:rPr>
                <w:sz w:val="20"/>
                <w:szCs w:val="20"/>
              </w:rPr>
            </w:pPr>
            <w:r>
              <w:rPr>
                <w:sz w:val="20"/>
                <w:szCs w:val="20"/>
              </w:rPr>
              <w:t>H: 225-319-336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E63CA" w:rsidRPr="006766BA" w:rsidRDefault="00DE63CA" w:rsidP="009236E9">
            <w:pPr>
              <w:spacing w:after="0"/>
              <w:jc w:val="center"/>
              <w:rPr>
                <w:sz w:val="20"/>
                <w:szCs w:val="20"/>
              </w:rPr>
            </w:pPr>
            <w:r>
              <w:rPr>
                <w:sz w:val="20"/>
                <w:szCs w:val="20"/>
              </w:rPr>
              <w:t>P: 210-233-305+351+338</w:t>
            </w:r>
          </w:p>
        </w:tc>
      </w:tr>
      <w:tr w:rsidR="00DE63CA" w:rsidRPr="009C5E28" w:rsidTr="009236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E63CA" w:rsidRPr="006766BA" w:rsidRDefault="00DE63CA" w:rsidP="009236E9">
            <w:pPr>
              <w:spacing w:after="0" w:line="276" w:lineRule="auto"/>
              <w:jc w:val="center"/>
              <w:rPr>
                <w:sz w:val="20"/>
                <w:szCs w:val="20"/>
              </w:rPr>
            </w:pPr>
            <w:r w:rsidRPr="006766BA">
              <w:rPr>
                <w:sz w:val="20"/>
                <w:szCs w:val="20"/>
              </w:rPr>
              <w:t>Ethanol</w:t>
            </w:r>
          </w:p>
        </w:tc>
        <w:tc>
          <w:tcPr>
            <w:tcW w:w="3177" w:type="dxa"/>
            <w:gridSpan w:val="3"/>
            <w:tcBorders>
              <w:top w:val="single" w:sz="8" w:space="0" w:color="4F81BD"/>
              <w:bottom w:val="single" w:sz="8" w:space="0" w:color="4F81BD"/>
            </w:tcBorders>
            <w:shd w:val="clear" w:color="auto" w:fill="auto"/>
            <w:vAlign w:val="center"/>
          </w:tcPr>
          <w:p w:rsidR="00DE63CA" w:rsidRPr="006766BA" w:rsidRDefault="00DE63CA" w:rsidP="009236E9">
            <w:pPr>
              <w:spacing w:after="0"/>
              <w:jc w:val="center"/>
              <w:rPr>
                <w:sz w:val="20"/>
                <w:szCs w:val="20"/>
              </w:rPr>
            </w:pPr>
            <w:r>
              <w:rPr>
                <w:sz w:val="20"/>
                <w:szCs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E63CA" w:rsidRPr="006766BA" w:rsidRDefault="00DE63CA" w:rsidP="009236E9">
            <w:pPr>
              <w:spacing w:after="0"/>
              <w:jc w:val="center"/>
              <w:rPr>
                <w:sz w:val="20"/>
                <w:szCs w:val="20"/>
              </w:rPr>
            </w:pPr>
            <w:r>
              <w:rPr>
                <w:sz w:val="20"/>
                <w:szCs w:val="20"/>
              </w:rPr>
              <w:t>P: 210</w:t>
            </w:r>
          </w:p>
        </w:tc>
      </w:tr>
      <w:tr w:rsidR="00DE63CA" w:rsidRPr="009C5E28" w:rsidTr="009236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E63CA" w:rsidRPr="006766BA" w:rsidRDefault="00DE63CA" w:rsidP="009236E9">
            <w:pPr>
              <w:spacing w:after="0" w:line="276" w:lineRule="auto"/>
              <w:jc w:val="center"/>
              <w:rPr>
                <w:sz w:val="20"/>
                <w:szCs w:val="20"/>
              </w:rPr>
            </w:pPr>
            <w:proofErr w:type="spellStart"/>
            <w:r>
              <w:rPr>
                <w:sz w:val="20"/>
                <w:szCs w:val="20"/>
              </w:rPr>
              <w:t>Schiffsche</w:t>
            </w:r>
            <w:proofErr w:type="spellEnd"/>
            <w:r>
              <w:rPr>
                <w:sz w:val="20"/>
                <w:szCs w:val="20"/>
              </w:rPr>
              <w:t xml:space="preserve"> Reagenz</w:t>
            </w:r>
          </w:p>
        </w:tc>
        <w:tc>
          <w:tcPr>
            <w:tcW w:w="3177" w:type="dxa"/>
            <w:gridSpan w:val="3"/>
            <w:tcBorders>
              <w:top w:val="single" w:sz="8" w:space="0" w:color="4F81BD"/>
              <w:bottom w:val="single" w:sz="8" w:space="0" w:color="4F81BD"/>
            </w:tcBorders>
            <w:shd w:val="clear" w:color="auto" w:fill="auto"/>
            <w:vAlign w:val="center"/>
          </w:tcPr>
          <w:p w:rsidR="00DE63CA" w:rsidRDefault="00DE63CA" w:rsidP="009236E9">
            <w:pPr>
              <w:spacing w:after="0"/>
              <w:jc w:val="center"/>
              <w:rPr>
                <w:sz w:val="20"/>
                <w:szCs w:val="20"/>
              </w:rPr>
            </w:pPr>
            <w:r>
              <w:rPr>
                <w:sz w:val="20"/>
                <w:szCs w:val="20"/>
              </w:rPr>
              <w:t>H: 350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E63CA" w:rsidRDefault="00DE63CA" w:rsidP="009236E9">
            <w:pPr>
              <w:spacing w:after="0"/>
              <w:jc w:val="center"/>
              <w:rPr>
                <w:sz w:val="20"/>
                <w:szCs w:val="20"/>
              </w:rPr>
            </w:pPr>
            <w:r>
              <w:rPr>
                <w:sz w:val="20"/>
                <w:szCs w:val="20"/>
              </w:rPr>
              <w:t>P: 280-201-308+313</w:t>
            </w:r>
          </w:p>
        </w:tc>
      </w:tr>
      <w:tr w:rsidR="00DE63CA" w:rsidRPr="009C5E28" w:rsidTr="009236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E63CA" w:rsidRDefault="00DE63CA" w:rsidP="009236E9">
            <w:pPr>
              <w:spacing w:after="0" w:line="276" w:lineRule="auto"/>
              <w:jc w:val="center"/>
              <w:rPr>
                <w:sz w:val="20"/>
                <w:szCs w:val="20"/>
              </w:rPr>
            </w:pPr>
            <w:r>
              <w:rPr>
                <w:sz w:val="20"/>
              </w:rPr>
              <w:t>Fuchsin</w:t>
            </w:r>
          </w:p>
        </w:tc>
        <w:tc>
          <w:tcPr>
            <w:tcW w:w="3177" w:type="dxa"/>
            <w:gridSpan w:val="3"/>
            <w:tcBorders>
              <w:top w:val="single" w:sz="8" w:space="0" w:color="4F81BD"/>
              <w:bottom w:val="single" w:sz="8" w:space="0" w:color="4F81BD"/>
            </w:tcBorders>
            <w:shd w:val="clear" w:color="auto" w:fill="auto"/>
            <w:vAlign w:val="center"/>
          </w:tcPr>
          <w:p w:rsidR="00DE63CA" w:rsidRDefault="00DE63CA" w:rsidP="009236E9">
            <w:pPr>
              <w:spacing w:after="0"/>
              <w:jc w:val="center"/>
              <w:rPr>
                <w:sz w:val="20"/>
                <w:szCs w:val="20"/>
              </w:rPr>
            </w:pPr>
            <w:r>
              <w:rPr>
                <w:sz w:val="20"/>
              </w:rPr>
              <w:t>H: 351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E63CA" w:rsidRDefault="00DE63CA" w:rsidP="009236E9">
            <w:pPr>
              <w:spacing w:after="0"/>
              <w:jc w:val="center"/>
              <w:rPr>
                <w:sz w:val="20"/>
                <w:szCs w:val="20"/>
              </w:rPr>
            </w:pPr>
            <w:r>
              <w:rPr>
                <w:sz w:val="20"/>
              </w:rPr>
              <w:t>P: 201-202-280-308+313-405-501.1</w:t>
            </w:r>
          </w:p>
        </w:tc>
      </w:tr>
      <w:tr w:rsidR="00DE63CA" w:rsidRPr="009C5E28" w:rsidTr="009236E9">
        <w:tc>
          <w:tcPr>
            <w:tcW w:w="1009" w:type="dxa"/>
            <w:tcBorders>
              <w:top w:val="single" w:sz="8" w:space="0" w:color="4F81BD"/>
              <w:left w:val="single" w:sz="8" w:space="0" w:color="4F81BD"/>
              <w:bottom w:val="single" w:sz="8" w:space="0" w:color="4F81BD"/>
            </w:tcBorders>
            <w:shd w:val="clear" w:color="auto" w:fill="auto"/>
            <w:vAlign w:val="center"/>
          </w:tcPr>
          <w:p w:rsidR="00DE63CA" w:rsidRPr="009C5E28" w:rsidRDefault="00DE63CA" w:rsidP="009236E9">
            <w:pPr>
              <w:spacing w:after="0"/>
              <w:jc w:val="center"/>
              <w:rPr>
                <w:b/>
                <w:bCs/>
              </w:rPr>
            </w:pPr>
            <w:r w:rsidRPr="001D2977">
              <w:rPr>
                <w:rFonts w:asciiTheme="majorHAnsi" w:hAnsiTheme="majorHAnsi"/>
                <w:b/>
                <w:noProof/>
                <w:color w:val="auto"/>
                <w:lang w:eastAsia="de-DE"/>
              </w:rPr>
              <w:drawing>
                <wp:inline distT="0" distB="0" distL="0" distR="0" wp14:anchorId="6FB6478E" wp14:editId="3EE4157C">
                  <wp:extent cx="514350" cy="514350"/>
                  <wp:effectExtent l="0" t="0" r="0" b="0"/>
                  <wp:docPr id="83" name="Grafik 83" descr="C:\Users\Ann-Kathrin\Documents\Studium\SoSe16\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Kathrin\Documents\Studium\SoSe16\SVP\Piktogramme\Ätzend.pn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14350" cy="51435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E63CA" w:rsidRPr="009C5E28" w:rsidRDefault="00DE63CA" w:rsidP="009236E9">
            <w:pPr>
              <w:spacing w:after="0"/>
              <w:jc w:val="center"/>
            </w:pPr>
            <w:r>
              <w:rPr>
                <w:noProof/>
                <w:lang w:eastAsia="de-DE"/>
              </w:rPr>
              <w:drawing>
                <wp:inline distT="0" distB="0" distL="0" distR="0" wp14:anchorId="4F191C79" wp14:editId="1166336A">
                  <wp:extent cx="504190" cy="50419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E63CA" w:rsidRPr="009C5E28" w:rsidRDefault="00DE63CA" w:rsidP="009236E9">
            <w:pPr>
              <w:spacing w:after="0"/>
              <w:jc w:val="center"/>
            </w:pPr>
            <w:r w:rsidRPr="001D2977">
              <w:rPr>
                <w:noProof/>
                <w:lang w:eastAsia="de-DE"/>
              </w:rPr>
              <w:drawing>
                <wp:inline distT="0" distB="0" distL="0" distR="0" wp14:anchorId="18CF1ABD" wp14:editId="5C418519">
                  <wp:extent cx="552450" cy="552450"/>
                  <wp:effectExtent l="0" t="0" r="0" b="0"/>
                  <wp:docPr id="85" name="Grafik 85" descr="C:\Users\Ann-Kathrin\Documents\Studium\SoSe16\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Kathrin\Documents\Studium\SoSe16\SVP\Piktogramme\Brennbar.pn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52450" cy="55245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E63CA" w:rsidRPr="009C5E28" w:rsidRDefault="00DE63CA" w:rsidP="009236E9">
            <w:pPr>
              <w:spacing w:after="0"/>
              <w:jc w:val="center"/>
            </w:pPr>
            <w:r>
              <w:rPr>
                <w:noProof/>
                <w:lang w:eastAsia="de-DE"/>
              </w:rPr>
              <w:drawing>
                <wp:inline distT="0" distB="0" distL="0" distR="0" wp14:anchorId="589BF203" wp14:editId="71A04670">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E63CA" w:rsidRPr="009C5E28" w:rsidRDefault="00DE63CA" w:rsidP="009236E9">
            <w:pPr>
              <w:spacing w:after="0"/>
              <w:jc w:val="center"/>
            </w:pPr>
            <w:r>
              <w:rPr>
                <w:noProof/>
                <w:lang w:eastAsia="de-DE"/>
              </w:rPr>
              <w:drawing>
                <wp:inline distT="0" distB="0" distL="0" distR="0" wp14:anchorId="2CBB1F5D" wp14:editId="21AF032F">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E63CA" w:rsidRPr="009C5E28" w:rsidRDefault="00DE63CA" w:rsidP="009236E9">
            <w:pPr>
              <w:spacing w:after="0"/>
              <w:jc w:val="center"/>
            </w:pPr>
            <w:r w:rsidRPr="00AA0BBD">
              <w:rPr>
                <w:noProof/>
                <w:lang w:eastAsia="de-DE"/>
              </w:rPr>
              <w:drawing>
                <wp:inline distT="0" distB="0" distL="0" distR="0" wp14:anchorId="5219F817" wp14:editId="494F7846">
                  <wp:extent cx="523875" cy="523875"/>
                  <wp:effectExtent l="0" t="0" r="9525" b="9525"/>
                  <wp:docPr id="55" name="Grafik 55" descr="C:\Users\Ann-Kathrin\Documents\Studium\SoSe16\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Kathrin\Documents\Studium\SoSe16\SVP\Piktogramme\Gesundheitsgefahr.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23875" cy="52387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E63CA" w:rsidRPr="009C5E28" w:rsidRDefault="00DE63CA" w:rsidP="009236E9">
            <w:pPr>
              <w:spacing w:after="0"/>
              <w:jc w:val="center"/>
            </w:pPr>
            <w:r>
              <w:rPr>
                <w:noProof/>
                <w:lang w:eastAsia="de-DE"/>
              </w:rPr>
              <w:drawing>
                <wp:inline distT="0" distB="0" distL="0" distR="0" wp14:anchorId="08C6012E" wp14:editId="2F27FCD5">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E63CA" w:rsidRPr="009C5E28" w:rsidRDefault="00DE63CA" w:rsidP="009236E9">
            <w:pPr>
              <w:spacing w:after="0"/>
              <w:jc w:val="center"/>
            </w:pPr>
            <w:r w:rsidRPr="001D2977">
              <w:rPr>
                <w:noProof/>
                <w:lang w:eastAsia="de-DE"/>
              </w:rPr>
              <w:drawing>
                <wp:inline distT="0" distB="0" distL="0" distR="0" wp14:anchorId="2C1B36EB" wp14:editId="2B16B069">
                  <wp:extent cx="571500" cy="571500"/>
                  <wp:effectExtent l="0" t="0" r="0" b="0"/>
                  <wp:docPr id="86" name="Grafik 86" descr="C:\Users\Ann-Kathrin\Documents\Studium\SoSe16\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n-Kathrin\Documents\Studium\SoSe16\SVP\Piktogramme\Reizend.pn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71500" cy="5715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E63CA" w:rsidRPr="009C5E28" w:rsidRDefault="00DE63CA" w:rsidP="009236E9">
            <w:pPr>
              <w:spacing w:after="0"/>
              <w:jc w:val="center"/>
            </w:pPr>
            <w:r w:rsidRPr="001D2977">
              <w:rPr>
                <w:noProof/>
                <w:lang w:eastAsia="de-DE"/>
              </w:rPr>
              <w:drawing>
                <wp:inline distT="0" distB="0" distL="0" distR="0" wp14:anchorId="207A7A39" wp14:editId="15AF9A87">
                  <wp:extent cx="542925" cy="542925"/>
                  <wp:effectExtent l="0" t="0" r="9525" b="9525"/>
                  <wp:docPr id="84" name="Grafik 84" descr="C:\Users\Ann-Kathrin\Documents\Studium\SoSe16\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Kathrin\Documents\Studium\SoSe16\SVP\Piktogramme\Umweltgefahr.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42925" cy="542925"/>
                          </a:xfrm>
                          <a:prstGeom prst="rect">
                            <a:avLst/>
                          </a:prstGeom>
                          <a:noFill/>
                          <a:ln>
                            <a:noFill/>
                          </a:ln>
                        </pic:spPr>
                      </pic:pic>
                    </a:graphicData>
                  </a:graphic>
                </wp:inline>
              </w:drawing>
            </w:r>
          </w:p>
        </w:tc>
      </w:tr>
    </w:tbl>
    <w:p w:rsidR="00DE63CA" w:rsidRDefault="00DE63CA" w:rsidP="00DE63CA">
      <w:pPr>
        <w:tabs>
          <w:tab w:val="left" w:pos="1701"/>
          <w:tab w:val="left" w:pos="1985"/>
        </w:tabs>
        <w:ind w:left="1980" w:hanging="1980"/>
      </w:pPr>
    </w:p>
    <w:p w:rsidR="00DE63CA" w:rsidRPr="00C704E1" w:rsidRDefault="00DE63CA" w:rsidP="00DE63CA">
      <w:pPr>
        <w:tabs>
          <w:tab w:val="left" w:pos="1701"/>
          <w:tab w:val="left" w:pos="1985"/>
        </w:tabs>
        <w:ind w:left="1980" w:hanging="1980"/>
        <w:rPr>
          <w:color w:val="FF0000"/>
        </w:rPr>
      </w:pPr>
      <w:r>
        <w:t xml:space="preserve">Materialien: </w:t>
      </w:r>
      <w:r>
        <w:tab/>
      </w:r>
      <w:r>
        <w:tab/>
        <w:t>2 Bechergläser (250 </w:t>
      </w:r>
      <w:proofErr w:type="spellStart"/>
      <w:r>
        <w:t>mL</w:t>
      </w:r>
      <w:proofErr w:type="spellEnd"/>
      <w:r>
        <w:t>), Gasbrenner, Kupferdrahtspirale, Tiegelzange, Indikatorpapier</w:t>
      </w:r>
    </w:p>
    <w:p w:rsidR="00DE63CA" w:rsidRPr="00ED07C2" w:rsidRDefault="00DE63CA" w:rsidP="00DE63CA">
      <w:pPr>
        <w:tabs>
          <w:tab w:val="left" w:pos="1701"/>
          <w:tab w:val="left" w:pos="1985"/>
        </w:tabs>
        <w:ind w:left="1980" w:hanging="1980"/>
      </w:pPr>
      <w:r>
        <w:t>Chemikalien:</w:t>
      </w:r>
      <w:r>
        <w:tab/>
      </w:r>
      <w:r>
        <w:tab/>
        <w:t xml:space="preserve">Aceton, Ethanol, </w:t>
      </w:r>
      <w:proofErr w:type="spellStart"/>
      <w:r>
        <w:t>Schiffsche</w:t>
      </w:r>
      <w:proofErr w:type="spellEnd"/>
      <w:r>
        <w:t xml:space="preserve"> Reagenz</w:t>
      </w:r>
    </w:p>
    <w:p w:rsidR="00DE63CA" w:rsidRDefault="00DE63CA" w:rsidP="00DE63CA">
      <w:pPr>
        <w:tabs>
          <w:tab w:val="left" w:pos="1701"/>
          <w:tab w:val="left" w:pos="1985"/>
        </w:tabs>
        <w:ind w:left="1980" w:hanging="1980"/>
      </w:pPr>
      <w:r>
        <w:t xml:space="preserve">Durchführung: </w:t>
      </w:r>
      <w:r>
        <w:tab/>
      </w:r>
      <w:r>
        <w:tab/>
      </w:r>
      <w:r>
        <w:tab/>
        <w:t xml:space="preserve">Eine erhitzte Kupferspirale wird in den </w:t>
      </w:r>
      <w:proofErr w:type="spellStart"/>
      <w:r>
        <w:t>Gasraum</w:t>
      </w:r>
      <w:proofErr w:type="spellEnd"/>
      <w:r>
        <w:t xml:space="preserve"> über den Alkohol bzw. das Keton gehalten. Der Kupferdraht wird abwechselnd hoch- und tiefgeführt. Die Oberfläche der Kupferdrahtspirale soll beobachtet werden. In das Becherglas, welches das Keton enthält, wird zudem ein angefeuchtetes Indikatorpapier gehalten. Mit der Alkohollösung wird im Nachhinein die </w:t>
      </w:r>
      <w:proofErr w:type="spellStart"/>
      <w:r>
        <w:t>Schiffsche</w:t>
      </w:r>
      <w:proofErr w:type="spellEnd"/>
      <w:r>
        <w:t xml:space="preserve"> Probe durchgeführt, um das Reaktionsprodukt nachzuweisen.</w:t>
      </w:r>
    </w:p>
    <w:p w:rsidR="00DE63CA" w:rsidRPr="006F2DF9" w:rsidRDefault="00DE63CA" w:rsidP="00DE63CA">
      <w:pPr>
        <w:tabs>
          <w:tab w:val="left" w:pos="1701"/>
          <w:tab w:val="left" w:pos="1985"/>
        </w:tabs>
        <w:ind w:left="1980" w:hanging="1980"/>
        <w:rPr>
          <w:color w:val="FF0000"/>
        </w:rPr>
      </w:pPr>
      <w:r>
        <w:t>Beobachtung:</w:t>
      </w:r>
      <w:r>
        <w:tab/>
      </w:r>
      <w:r>
        <w:tab/>
      </w:r>
      <w:r>
        <w:tab/>
        <w:t xml:space="preserve">Der Kupferdraht färbt sich an der Luft schwarz. Die Kupferspirale beginnt in dem </w:t>
      </w:r>
      <w:proofErr w:type="spellStart"/>
      <w:r>
        <w:t>Gasraum</w:t>
      </w:r>
      <w:proofErr w:type="spellEnd"/>
      <w:r>
        <w:t xml:space="preserve"> des Acetons wellenförmig aufzuleuchten. Das Indikatorpapier färbt sich leicht rötlich. Das Glühen der Kupferdrahtspirale im Ethanol ist schwächer als bei Aceton, aber dennoch vorhanden. Nach Eintauchen des Kupferdrahtes in das Ethanol ist ein Zischen zu hören und der Kupferdraht verfärbt sich wieder kupferfarben. Diese Färbung bleibt solange erhalten bis die Spirale wieder im Gasbrenner erhitzt wird. </w:t>
      </w:r>
      <w:r>
        <w:rPr>
          <w:color w:val="auto"/>
        </w:rPr>
        <w:t xml:space="preserve">Ein Milliliter der Lösung aus </w:t>
      </w:r>
      <w:r>
        <w:rPr>
          <w:color w:val="auto"/>
        </w:rPr>
        <w:lastRenderedPageBreak/>
        <w:t>dem Becherglas mit dem Ethanol färbt sich nach Zugabe von 3 </w:t>
      </w:r>
      <w:proofErr w:type="spellStart"/>
      <w:r>
        <w:rPr>
          <w:color w:val="auto"/>
        </w:rPr>
        <w:t>mL</w:t>
      </w:r>
      <w:proofErr w:type="spellEnd"/>
      <w:r>
        <w:rPr>
          <w:color w:val="auto"/>
        </w:rPr>
        <w:t xml:space="preserve"> </w:t>
      </w:r>
      <w:proofErr w:type="spellStart"/>
      <w:r>
        <w:rPr>
          <w:color w:val="auto"/>
        </w:rPr>
        <w:t>Schiffsche</w:t>
      </w:r>
      <w:proofErr w:type="spellEnd"/>
      <w:r>
        <w:rPr>
          <w:color w:val="auto"/>
        </w:rPr>
        <w:t xml:space="preserve"> Reagenz violett.</w:t>
      </w:r>
    </w:p>
    <w:p w:rsidR="00DE63CA" w:rsidRPr="006F2DF9" w:rsidRDefault="00DE63CA" w:rsidP="00DE63CA">
      <w:pPr>
        <w:pStyle w:val="Beschriftung"/>
        <w:jc w:val="center"/>
        <w:rPr>
          <w:color w:val="FF0000"/>
        </w:rPr>
      </w:pPr>
      <w:r>
        <w:rPr>
          <w:noProof/>
          <w:lang w:eastAsia="de-DE"/>
        </w:rPr>
        <w:drawing>
          <wp:inline distT="0" distB="0" distL="0" distR="0" wp14:anchorId="0CC7DAE7" wp14:editId="6A2589AF">
            <wp:extent cx="1156335" cy="2055831"/>
            <wp:effectExtent l="0" t="0" r="5715" b="1905"/>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vlcsnap-2016-08-03-09h56m04s329.png"/>
                    <pic:cNvPicPr/>
                  </pic:nvPicPr>
                  <pic:blipFill>
                    <a:blip r:embed="rId14" cstate="email">
                      <a:extLst>
                        <a:ext uri="{28A0092B-C50C-407E-A947-70E740481C1C}">
                          <a14:useLocalDpi xmlns:a14="http://schemas.microsoft.com/office/drawing/2010/main"/>
                        </a:ext>
                      </a:extLst>
                    </a:blip>
                    <a:stretch>
                      <a:fillRect/>
                    </a:stretch>
                  </pic:blipFill>
                  <pic:spPr>
                    <a:xfrm>
                      <a:off x="0" y="0"/>
                      <a:ext cx="1159879" cy="2062132"/>
                    </a:xfrm>
                    <a:prstGeom prst="rect">
                      <a:avLst/>
                    </a:prstGeom>
                  </pic:spPr>
                </pic:pic>
              </a:graphicData>
            </a:graphic>
          </wp:inline>
        </w:drawing>
      </w:r>
      <w:r>
        <w:t xml:space="preserve">  </w:t>
      </w:r>
      <w:r>
        <w:rPr>
          <w:noProof/>
          <w:lang w:eastAsia="de-DE"/>
        </w:rPr>
        <w:drawing>
          <wp:inline distT="0" distB="0" distL="0" distR="0" wp14:anchorId="3D200080" wp14:editId="0FC006FE">
            <wp:extent cx="1171575" cy="2060762"/>
            <wp:effectExtent l="0" t="0" r="0" b="0"/>
            <wp:docPr id="8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vlcsnap-2016-08-03-09h57m56s886.png"/>
                    <pic:cNvPicPr/>
                  </pic:nvPicPr>
                  <pic:blipFill>
                    <a:blip r:embed="rId15" cstate="email">
                      <a:extLst>
                        <a:ext uri="{28A0092B-C50C-407E-A947-70E740481C1C}">
                          <a14:useLocalDpi xmlns:a14="http://schemas.microsoft.com/office/drawing/2010/main"/>
                        </a:ext>
                      </a:extLst>
                    </a:blip>
                    <a:stretch>
                      <a:fillRect/>
                    </a:stretch>
                  </pic:blipFill>
                  <pic:spPr>
                    <a:xfrm>
                      <a:off x="0" y="0"/>
                      <a:ext cx="1180736" cy="2076876"/>
                    </a:xfrm>
                    <a:prstGeom prst="rect">
                      <a:avLst/>
                    </a:prstGeom>
                  </pic:spPr>
                </pic:pic>
              </a:graphicData>
            </a:graphic>
          </wp:inline>
        </w:drawing>
      </w:r>
      <w:r>
        <w:t xml:space="preserve">  </w:t>
      </w:r>
      <w:r>
        <w:rPr>
          <w:noProof/>
          <w:lang w:eastAsia="de-DE"/>
        </w:rPr>
        <w:drawing>
          <wp:inline distT="0" distB="0" distL="0" distR="0" wp14:anchorId="54D9059B" wp14:editId="24B8E227">
            <wp:extent cx="1014095" cy="2059548"/>
            <wp:effectExtent l="0" t="0" r="0" b="0"/>
            <wp:docPr id="90"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vlcsnap-2016-08-03-09h58m26s437.png"/>
                    <pic:cNvPicPr/>
                  </pic:nvPicPr>
                  <pic:blipFill>
                    <a:blip r:embed="rId16" cstate="email">
                      <a:extLst>
                        <a:ext uri="{28A0092B-C50C-407E-A947-70E740481C1C}">
                          <a14:useLocalDpi xmlns:a14="http://schemas.microsoft.com/office/drawing/2010/main"/>
                        </a:ext>
                      </a:extLst>
                    </a:blip>
                    <a:stretch>
                      <a:fillRect/>
                    </a:stretch>
                  </pic:blipFill>
                  <pic:spPr>
                    <a:xfrm>
                      <a:off x="0" y="0"/>
                      <a:ext cx="1018317" cy="2068123"/>
                    </a:xfrm>
                    <a:prstGeom prst="rect">
                      <a:avLst/>
                    </a:prstGeom>
                  </pic:spPr>
                </pic:pic>
              </a:graphicData>
            </a:graphic>
          </wp:inline>
        </w:drawing>
      </w:r>
      <w:r>
        <w:rPr>
          <w:color w:val="FF0000"/>
        </w:rPr>
        <w:t xml:space="preserve">  </w:t>
      </w:r>
      <w:r>
        <w:rPr>
          <w:noProof/>
          <w:color w:val="FF0000"/>
          <w:lang w:eastAsia="de-DE"/>
        </w:rPr>
        <w:drawing>
          <wp:inline distT="0" distB="0" distL="0" distR="0" wp14:anchorId="63C8B9A6" wp14:editId="2686FA16">
            <wp:extent cx="1048069" cy="2053701"/>
            <wp:effectExtent l="0" t="0" r="0" b="381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20160803_144423.jpg"/>
                    <pic:cNvPicPr/>
                  </pic:nvPicPr>
                  <pic:blipFill>
                    <a:blip r:embed="rId17" cstate="email">
                      <a:extLst>
                        <a:ext uri="{28A0092B-C50C-407E-A947-70E740481C1C}">
                          <a14:useLocalDpi xmlns:a14="http://schemas.microsoft.com/office/drawing/2010/main"/>
                        </a:ext>
                      </a:extLst>
                    </a:blip>
                    <a:stretch>
                      <a:fillRect/>
                    </a:stretch>
                  </pic:blipFill>
                  <pic:spPr>
                    <a:xfrm>
                      <a:off x="0" y="0"/>
                      <a:ext cx="1058685" cy="2074504"/>
                    </a:xfrm>
                    <a:prstGeom prst="rect">
                      <a:avLst/>
                    </a:prstGeom>
                  </pic:spPr>
                </pic:pic>
              </a:graphicData>
            </a:graphic>
          </wp:inline>
        </w:drawing>
      </w:r>
    </w:p>
    <w:p w:rsidR="00DE63CA" w:rsidRDefault="00DE63CA" w:rsidP="00DE63CA">
      <w:pPr>
        <w:pStyle w:val="Beschriftung"/>
        <w:jc w:val="center"/>
      </w:pPr>
      <w:r>
        <w:t xml:space="preserve">Abb. 3 –Kupferspirale im </w:t>
      </w:r>
      <w:proofErr w:type="spellStart"/>
      <w:r>
        <w:t>Acetondampf</w:t>
      </w:r>
      <w:proofErr w:type="spellEnd"/>
      <w:r>
        <w:rPr>
          <w:noProof/>
        </w:rPr>
        <w:t xml:space="preserve"> (links), im Ethanoldampf (Mitte), nach Eintauchen in Ethanol (Mitte) und Schiffsche Probe (rechts).</w:t>
      </w:r>
    </w:p>
    <w:p w:rsidR="00DE63CA" w:rsidRDefault="00DE63CA" w:rsidP="00DE63CA">
      <w:pPr>
        <w:tabs>
          <w:tab w:val="left" w:pos="1701"/>
          <w:tab w:val="left" w:pos="1985"/>
        </w:tabs>
        <w:ind w:left="2124" w:hanging="2124"/>
      </w:pPr>
      <w:r>
        <w:t>Deutung:</w:t>
      </w:r>
      <w:r>
        <w:tab/>
      </w:r>
      <w:r>
        <w:tab/>
      </w:r>
      <w:r>
        <w:tab/>
        <w:t>Der erhitzte Kupferdraht reagiert mit dem Luftsauerstoff und bildet Kupferoxid (schwarz). Er überträgt seine Oxidationsäquivalente auf das Aceton und das Ethanol durch Abgabe des Sauerstoffs. Bei diesem Oxidationsprozess spielen Oberflächenprozesse eine Rolle. Deren Verlauf kann an der Kupferspirale durch wellenförmiges Aufleuchten beobachtet werden. Nach der dunklen Verfärbung durch den Sauerstoff lässt die anschließende Reaktion mit Aceton und Ethanol die Spirale wegen der Abgabe des Sauerstoffes kupferfarben werden und aufgrund der Freisetzung der Oxidationsenergie hell aufglühen.</w:t>
      </w:r>
    </w:p>
    <w:p w:rsidR="00DE63CA" w:rsidRPr="004C1E21" w:rsidRDefault="00DE63CA" w:rsidP="00DE63CA">
      <w:pPr>
        <w:tabs>
          <w:tab w:val="left" w:pos="1701"/>
          <w:tab w:val="left" w:pos="1985"/>
        </w:tabs>
        <w:ind w:left="2124" w:hanging="2124"/>
        <w:rPr>
          <w:rFonts w:eastAsiaTheme="minorEastAsia"/>
        </w:rPr>
      </w:pPr>
      <m:oMathPara>
        <m:oMath>
          <m:r>
            <w:rPr>
              <w:rFonts w:ascii="Cambria Math" w:hAnsi="Cambria Math"/>
            </w:rPr>
            <m:t>2Cu(s)+</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(g)⟶2CuO(s)</m:t>
          </m:r>
        </m:oMath>
      </m:oMathPara>
    </w:p>
    <w:p w:rsidR="00DE63CA" w:rsidRPr="006F2DF9" w:rsidRDefault="00DE63CA" w:rsidP="00DE63CA">
      <w:pPr>
        <w:tabs>
          <w:tab w:val="left" w:pos="1701"/>
          <w:tab w:val="left" w:pos="1985"/>
        </w:tabs>
        <w:ind w:left="1985"/>
        <w:rPr>
          <w:rFonts w:eastAsiaTheme="minorEastAsia"/>
        </w:rPr>
      </w:pPr>
      <m:oMathPara>
        <m:oMath>
          <m:r>
            <w:rPr>
              <w:rFonts w:ascii="Cambria Math" w:hAnsi="Cambria Math"/>
            </w:rPr>
            <m:t>8CuO(s)+</m:t>
          </m:r>
          <m:sSub>
            <m:sSubPr>
              <m:ctrlPr>
                <w:rPr>
                  <w:rFonts w:ascii="Cambria Math" w:hAnsi="Cambria Math"/>
                  <w:i/>
                </w:rPr>
              </m:ctrlPr>
            </m:sSubPr>
            <m:e>
              <m:r>
                <w:rPr>
                  <w:rFonts w:ascii="Cambria Math" w:hAnsi="Cambria Math"/>
                </w:rPr>
                <m:t>CH</m:t>
              </m:r>
            </m:e>
            <m:sub>
              <m:r>
                <w:rPr>
                  <w:rFonts w:ascii="Cambria Math" w:hAnsi="Cambria Math"/>
                </w:rPr>
                <m:t>3</m:t>
              </m:r>
            </m:sub>
          </m:sSub>
          <m:sSub>
            <m:sSubPr>
              <m:ctrlPr>
                <w:rPr>
                  <w:rFonts w:ascii="Cambria Math" w:hAnsi="Cambria Math"/>
                  <w:i/>
                </w:rPr>
              </m:ctrlPr>
            </m:sSubPr>
            <m:e>
              <m:r>
                <w:rPr>
                  <w:rFonts w:ascii="Cambria Math" w:hAnsi="Cambria Math"/>
                </w:rPr>
                <m:t>COCH</m:t>
              </m:r>
            </m:e>
            <m:sub>
              <m:r>
                <w:rPr>
                  <w:rFonts w:ascii="Cambria Math" w:hAnsi="Cambria Math"/>
                </w:rPr>
                <m:t>3</m:t>
              </m:r>
            </m:sub>
          </m:sSub>
          <m:r>
            <w:rPr>
              <w:rFonts w:ascii="Cambria Math" w:hAnsi="Cambria Math"/>
            </w:rPr>
            <m:t>(l)⟶8Cu(s)+3C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(g)+</m:t>
          </m:r>
          <m:sSub>
            <m:sSubPr>
              <m:ctrlPr>
                <w:rPr>
                  <w:rFonts w:ascii="Cambria Math" w:hAnsi="Cambria Math"/>
                  <w:i/>
                </w:rPr>
              </m:ctrlPr>
            </m:sSubPr>
            <m:e>
              <m:r>
                <w:rPr>
                  <w:rFonts w:ascii="Cambria Math" w:hAnsi="Cambria Math"/>
                </w:rPr>
                <m:t>3H</m:t>
              </m:r>
            </m:e>
            <m:sub>
              <m:r>
                <w:rPr>
                  <w:rFonts w:ascii="Cambria Math" w:hAnsi="Cambria Math"/>
                </w:rPr>
                <m:t>2</m:t>
              </m:r>
            </m:sub>
          </m:sSub>
          <m:r>
            <w:rPr>
              <w:rFonts w:ascii="Cambria Math" w:hAnsi="Cambria Math"/>
            </w:rPr>
            <m:t>O(l)</m:t>
          </m:r>
        </m:oMath>
      </m:oMathPara>
    </w:p>
    <w:p w:rsidR="00DE63CA" w:rsidRDefault="00DE63CA" w:rsidP="00DE63CA">
      <w:pPr>
        <w:tabs>
          <w:tab w:val="left" w:pos="1701"/>
          <w:tab w:val="left" w:pos="1985"/>
        </w:tabs>
        <w:ind w:left="2124"/>
        <w:rPr>
          <w:rFonts w:eastAsiaTheme="minorEastAsia"/>
          <w:color w:val="FF0000"/>
        </w:rPr>
      </w:pPr>
      <w:r>
        <w:rPr>
          <w:rFonts w:eastAsiaTheme="minorEastAsia"/>
        </w:rPr>
        <w:t xml:space="preserve">Nach Zugabe des Glühenden Kupferdrahtes zu dem Ethanol lässt sich ein Zischen verzeichnen und der Kupferdraht wird wiederkupferfarben. Das Kupferoxid wird zu Kupfer reduziert und der Alkohol wird oxidiert und ist zu einem Aldehyd reagiert. </w:t>
      </w:r>
      <w:r>
        <w:rPr>
          <w:rFonts w:eastAsiaTheme="minorEastAsia"/>
          <w:color w:val="auto"/>
        </w:rPr>
        <w:t xml:space="preserve">Die </w:t>
      </w:r>
      <w:proofErr w:type="spellStart"/>
      <w:r>
        <w:rPr>
          <w:rFonts w:eastAsiaTheme="minorEastAsia"/>
          <w:color w:val="auto"/>
        </w:rPr>
        <w:t>Schiffsche</w:t>
      </w:r>
      <w:proofErr w:type="spellEnd"/>
      <w:r>
        <w:rPr>
          <w:rFonts w:eastAsiaTheme="minorEastAsia"/>
          <w:color w:val="auto"/>
        </w:rPr>
        <w:t xml:space="preserve"> Probe war positiv, welches ein Nachweis für ein Aldehyd ist.</w:t>
      </w:r>
    </w:p>
    <w:p w:rsidR="00DE63CA" w:rsidRPr="00416B4F" w:rsidRDefault="00DE63CA" w:rsidP="00DE63CA">
      <w:pPr>
        <w:tabs>
          <w:tab w:val="left" w:pos="1701"/>
          <w:tab w:val="left" w:pos="1985"/>
        </w:tabs>
        <w:ind w:left="1985"/>
        <w:rPr>
          <w:rFonts w:eastAsiaTheme="minorEastAsia"/>
        </w:rPr>
      </w:pPr>
      <m:oMathPara>
        <m:oMath>
          <m:sSub>
            <m:sSubPr>
              <m:ctrlPr>
                <w:rPr>
                  <w:rFonts w:ascii="Cambria Math" w:hAnsi="Cambria Math"/>
                  <w:i/>
                </w:rPr>
              </m:ctrlPr>
            </m:sSubPr>
            <m:e>
              <m:r>
                <w:rPr>
                  <w:rFonts w:ascii="Cambria Math" w:hAnsi="Cambria Math"/>
                </w:rPr>
                <m:t>CH</m:t>
              </m:r>
            </m:e>
            <m:sub>
              <m:r>
                <w:rPr>
                  <w:rFonts w:ascii="Cambria Math" w:hAnsi="Cambria Math"/>
                </w:rPr>
                <m:t>3</m:t>
              </m:r>
            </m:sub>
          </m:sSub>
          <m:sSub>
            <m:sSubPr>
              <m:ctrlPr>
                <w:rPr>
                  <w:rFonts w:ascii="Cambria Math" w:hAnsi="Cambria Math"/>
                  <w:i/>
                </w:rPr>
              </m:ctrlPr>
            </m:sSubPr>
            <m:e>
              <m:r>
                <w:rPr>
                  <w:rFonts w:ascii="Cambria Math" w:hAnsi="Cambria Math"/>
                </w:rPr>
                <m:t>CH</m:t>
              </m:r>
            </m:e>
            <m:sub>
              <m:r>
                <w:rPr>
                  <w:rFonts w:ascii="Cambria Math" w:hAnsi="Cambria Math"/>
                </w:rPr>
                <m:t>2</m:t>
              </m:r>
            </m:sub>
          </m:sSub>
          <m:r>
            <w:rPr>
              <w:rFonts w:ascii="Cambria Math" w:hAnsi="Cambria Math"/>
            </w:rPr>
            <m:t>OH</m:t>
          </m:r>
          <m:d>
            <m:dPr>
              <m:ctrlPr>
                <w:rPr>
                  <w:rFonts w:ascii="Cambria Math" w:hAnsi="Cambria Math"/>
                  <w:i/>
                </w:rPr>
              </m:ctrlPr>
            </m:dPr>
            <m:e>
              <m:r>
                <w:rPr>
                  <w:rFonts w:ascii="Cambria Math" w:hAnsi="Cambria Math"/>
                </w:rPr>
                <m:t>l</m:t>
              </m:r>
            </m:e>
          </m:d>
          <m:r>
            <w:rPr>
              <w:rFonts w:ascii="Cambria Math" w:hAnsi="Cambria Math"/>
            </w:rPr>
            <m:t>+CuO</m:t>
          </m:r>
          <m:d>
            <m:dPr>
              <m:ctrlPr>
                <w:rPr>
                  <w:rFonts w:ascii="Cambria Math" w:hAnsi="Cambria Math"/>
                  <w:i/>
                </w:rPr>
              </m:ctrlPr>
            </m:dPr>
            <m:e>
              <m:r>
                <w:rPr>
                  <w:rFonts w:ascii="Cambria Math" w:hAnsi="Cambria Math"/>
                </w:rPr>
                <m:t>s</m:t>
              </m:r>
            </m:e>
          </m:d>
          <m:r>
            <w:rPr>
              <w:rFonts w:ascii="Cambria Math" w:hAnsi="Cambria Math"/>
            </w:rPr>
            <m:t>→Cu</m:t>
          </m:r>
          <m:d>
            <m:dPr>
              <m:ctrlPr>
                <w:rPr>
                  <w:rFonts w:ascii="Cambria Math" w:hAnsi="Cambria Math"/>
                  <w:i/>
                </w:rPr>
              </m:ctrlPr>
            </m:dPr>
            <m:e>
              <m:r>
                <w:rPr>
                  <w:rFonts w:ascii="Cambria Math" w:hAnsi="Cambria Math"/>
                </w:rPr>
                <m:t>s</m:t>
              </m:r>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d>
            <m:dPr>
              <m:ctrlPr>
                <w:rPr>
                  <w:rFonts w:ascii="Cambria Math" w:hAnsi="Cambria Math"/>
                  <w:i/>
                </w:rPr>
              </m:ctrlPr>
            </m:dPr>
            <m:e>
              <m:r>
                <w:rPr>
                  <w:rFonts w:ascii="Cambria Math" w:hAnsi="Cambria Math"/>
                </w:rPr>
                <m:t>l</m:t>
              </m:r>
            </m:e>
          </m:d>
          <m:r>
            <w:rPr>
              <w:rFonts w:ascii="Cambria Math" w:hAnsi="Cambria Math"/>
            </w:rPr>
            <m:t>+</m:t>
          </m:r>
          <m:sSub>
            <m:sSubPr>
              <m:ctrlPr>
                <w:rPr>
                  <w:rFonts w:ascii="Cambria Math" w:hAnsi="Cambria Math"/>
                  <w:i/>
                </w:rPr>
              </m:ctrlPr>
            </m:sSubPr>
            <m:e>
              <m:r>
                <w:rPr>
                  <w:rFonts w:ascii="Cambria Math" w:hAnsi="Cambria Math"/>
                </w:rPr>
                <m:t>CH</m:t>
              </m:r>
            </m:e>
            <m:sub>
              <m:r>
                <w:rPr>
                  <w:rFonts w:ascii="Cambria Math" w:hAnsi="Cambria Math"/>
                </w:rPr>
                <m:t>3</m:t>
              </m:r>
            </m:sub>
          </m:sSub>
          <m:r>
            <w:rPr>
              <w:rFonts w:ascii="Cambria Math" w:hAnsi="Cambria Math"/>
            </w:rPr>
            <m:t>CHO(l)</m:t>
          </m:r>
        </m:oMath>
      </m:oMathPara>
    </w:p>
    <w:p w:rsidR="00DE63CA" w:rsidRDefault="00DE63CA" w:rsidP="00DE63CA">
      <w:pPr>
        <w:spacing w:line="276" w:lineRule="auto"/>
        <w:ind w:left="2124" w:hanging="2124"/>
        <w:jc w:val="left"/>
      </w:pPr>
      <w:r>
        <w:t>Entsorgung:</w:t>
      </w:r>
      <w:r>
        <w:tab/>
        <w:t>Die Entsorgung der Lösungen erfolgt im organischen Lösungsmittelbehälter.</w:t>
      </w:r>
    </w:p>
    <w:p w:rsidR="00DE63CA" w:rsidRDefault="00DE63CA" w:rsidP="00DE63CA">
      <w:pPr>
        <w:spacing w:line="276" w:lineRule="auto"/>
        <w:ind w:left="2124" w:hanging="2124"/>
        <w:jc w:val="left"/>
        <w:rPr>
          <w:color w:val="auto"/>
        </w:rPr>
      </w:pPr>
      <w:r>
        <w:t xml:space="preserve">Literatur:                         </w:t>
      </w:r>
      <w:r>
        <w:rPr>
          <w:color w:val="auto"/>
        </w:rPr>
        <w:t xml:space="preserve">[3] </w:t>
      </w:r>
      <w:r>
        <w:t xml:space="preserve">D. </w:t>
      </w:r>
      <w:proofErr w:type="spellStart"/>
      <w:r>
        <w:t>Wiechoczek</w:t>
      </w:r>
      <w:proofErr w:type="spellEnd"/>
      <w:r>
        <w:t>,</w:t>
      </w:r>
      <w:r w:rsidRPr="003A777B">
        <w:rPr>
          <w:color w:val="auto"/>
        </w:rPr>
        <w:t xml:space="preserve"> </w:t>
      </w:r>
      <w:hyperlink r:id="rId18" w:history="1">
        <w:r w:rsidRPr="003A777B">
          <w:rPr>
            <w:rStyle w:val="Hyperlink"/>
            <w:color w:val="auto"/>
          </w:rPr>
          <w:t>http://www.chemieunterricht.de/dc2/katalyse/vkat-015.htm</w:t>
        </w:r>
      </w:hyperlink>
      <w:r>
        <w:t>, 10.10.2006 (zuletzt aufgerufen am 03.08.2016)</w:t>
      </w:r>
    </w:p>
    <w:p w:rsidR="00DE63CA" w:rsidRPr="005B60E3" w:rsidRDefault="00DE63CA" w:rsidP="00DE63CA">
      <w:pPr>
        <w:spacing w:line="276" w:lineRule="auto"/>
        <w:jc w:val="left"/>
        <w:rPr>
          <w:rFonts w:asciiTheme="majorHAnsi" w:eastAsiaTheme="majorEastAsia" w:hAnsiTheme="majorHAnsi" w:cstheme="majorBidi"/>
          <w:b/>
          <w:bCs/>
          <w:sz w:val="28"/>
          <w:szCs w:val="28"/>
        </w:rPr>
      </w:pPr>
    </w:p>
    <w:p w:rsidR="00DE63CA" w:rsidRPr="00CC307A" w:rsidRDefault="00DE63CA" w:rsidP="00DE63CA">
      <w:pPr>
        <w:tabs>
          <w:tab w:val="left" w:pos="1701"/>
          <w:tab w:val="left" w:pos="1985"/>
        </w:tabs>
        <w:ind w:left="1980" w:hanging="1980"/>
      </w:pPr>
      <w:r>
        <w:rPr>
          <w:noProof/>
          <w:lang w:eastAsia="de-DE"/>
        </w:rPr>
        <mc:AlternateContent>
          <mc:Choice Requires="wps">
            <w:drawing>
              <wp:inline distT="0" distB="0" distL="0" distR="0" wp14:anchorId="2334DD3C" wp14:editId="3E1805F6">
                <wp:extent cx="5873115" cy="3459193"/>
                <wp:effectExtent l="0" t="0" r="13335" b="27305"/>
                <wp:docPr id="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459193"/>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E63CA" w:rsidRDefault="00DE63CA" w:rsidP="00DE63CA">
                            <w:pPr>
                              <w:rPr>
                                <w:color w:val="auto"/>
                              </w:rPr>
                            </w:pPr>
                            <w:r w:rsidRPr="00F31EBF">
                              <w:rPr>
                                <w:b/>
                                <w:color w:val="auto"/>
                              </w:rPr>
                              <w:t>Unterrichtsanschlüsse</w:t>
                            </w:r>
                            <w:r>
                              <w:rPr>
                                <w:b/>
                                <w:color w:val="auto"/>
                              </w:rPr>
                              <w:t>:</w:t>
                            </w:r>
                            <w:r w:rsidRPr="00F31EBF">
                              <w:rPr>
                                <w:b/>
                                <w:color w:val="auto"/>
                              </w:rPr>
                              <w:t xml:space="preserve"> </w:t>
                            </w:r>
                            <w:r>
                              <w:rPr>
                                <w:color w:val="auto"/>
                              </w:rPr>
                              <w:t xml:space="preserve">Dieser Versuch kann, falls die Oxidationsprodukte der primären Alkohole noch die bekannt sind, als Einführung der Aldehyde und Carbonsäuren verwendet werden. Des Weiteren kann das </w:t>
                            </w:r>
                            <w:proofErr w:type="spellStart"/>
                            <w:r>
                              <w:rPr>
                                <w:color w:val="auto"/>
                              </w:rPr>
                              <w:t>Schiffsche</w:t>
                            </w:r>
                            <w:proofErr w:type="spellEnd"/>
                            <w:r>
                              <w:rPr>
                                <w:color w:val="auto"/>
                              </w:rPr>
                              <w:t xml:space="preserve"> Reagenz als Nachweis für Aldehyde vorgestellt werden. Im Anschluss an diesem Versuch könnten weitere Nachweise für Aldehyde erarbeitet und ausprobiert werden. Da bei der </w:t>
                            </w:r>
                            <w:proofErr w:type="spellStart"/>
                            <w:r>
                              <w:rPr>
                                <w:color w:val="auto"/>
                              </w:rPr>
                              <w:t>Schiffschen</w:t>
                            </w:r>
                            <w:proofErr w:type="spellEnd"/>
                            <w:r>
                              <w:rPr>
                                <w:color w:val="auto"/>
                              </w:rPr>
                              <w:t xml:space="preserve"> Probe das krebserzeugende Fuchsin entstehen kann, darf dieser Versuch nur als Lehrerversuch durchgeführt werden. Außerdem sollten auch Frauen diesen Versuch nicht zu oft durchführen. </w:t>
                            </w:r>
                          </w:p>
                          <w:p w:rsidR="00DE63CA" w:rsidRPr="00F31EBF" w:rsidRDefault="00DE63CA" w:rsidP="00DE63CA">
                            <w:pPr>
                              <w:rPr>
                                <w:color w:val="auto"/>
                              </w:rPr>
                            </w:pPr>
                            <w:r>
                              <w:t xml:space="preserve">Bei der Oxidation von Ketonen entstehen Kohlenstoffdioxid und Wasser. Das Kohlenstoffdioxid könnte mithilfe von Calciumhydroxid durch Fällung als Calciumcarbonat nachgewiesen werden. Hierbei müssen die SuS mit der Methode zum Auffangen eines Gases vertraut sein. Dieser Nachweis könnte erfolgen, indem die Reaktion in einem Reagenzglas abläuft, auf welches im Anschluss ein Gärröhrchen mit Calciumhydroxid-Lösung gesetzt wird. Dieser Nachweis ist schwieriger als der </w:t>
                            </w:r>
                            <w:proofErr w:type="spellStart"/>
                            <w:r>
                              <w:t>Aldehydnachweis</w:t>
                            </w:r>
                            <w:proofErr w:type="spellEnd"/>
                            <w:r>
                              <w:t>, da die SuS schnell genug handeln müssen, um genügend Kohlenstoffdioxidgas aufzufangen-</w:t>
                            </w:r>
                          </w:p>
                        </w:txbxContent>
                      </wps:txbx>
                      <wps:bodyPr rot="0" vert="horz" wrap="square" lIns="91440" tIns="45720" rIns="91440" bIns="45720" anchor="t" anchorCtr="0" upright="1">
                        <a:noAutofit/>
                      </wps:bodyPr>
                    </wps:wsp>
                  </a:graphicData>
                </a:graphic>
              </wp:inline>
            </w:drawing>
          </mc:Choice>
          <mc:Fallback>
            <w:pict>
              <v:shape w14:anchorId="2334DD3C" id="Text Box 131" o:spid="_x0000_s1027" type="#_x0000_t202" style="width:462.45pt;height:27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" fillcolor="white [3201]" strokecolor="#ed7d31 [3205]" strokeweight="1pt">
                <v:stroke dashstyle="dash"/>
                <v:shadow color="#868686"/>
                <v:textbox>
                  <w:txbxContent>
                    <w:p w:rsidR="00DE63CA" w:rsidRDefault="00DE63CA" w:rsidP="00DE63CA">
                      <w:pPr>
                        <w:rPr>
                          <w:color w:val="auto"/>
                        </w:rPr>
                      </w:pPr>
                      <w:r w:rsidRPr="00F31EBF">
                        <w:rPr>
                          <w:b/>
                          <w:color w:val="auto"/>
                        </w:rPr>
                        <w:t>Unterrichtsanschlüsse</w:t>
                      </w:r>
                      <w:r>
                        <w:rPr>
                          <w:b/>
                          <w:color w:val="auto"/>
                        </w:rPr>
                        <w:t>:</w:t>
                      </w:r>
                      <w:r w:rsidRPr="00F31EBF">
                        <w:rPr>
                          <w:b/>
                          <w:color w:val="auto"/>
                        </w:rPr>
                        <w:t xml:space="preserve"> </w:t>
                      </w:r>
                      <w:r>
                        <w:rPr>
                          <w:color w:val="auto"/>
                        </w:rPr>
                        <w:t xml:space="preserve">Dieser Versuch kann, falls die Oxidationsprodukte der primären Alkohole noch die bekannt sind, als Einführung der Aldehyde und Carbonsäuren verwendet werden. Des Weiteren kann das </w:t>
                      </w:r>
                      <w:proofErr w:type="spellStart"/>
                      <w:r>
                        <w:rPr>
                          <w:color w:val="auto"/>
                        </w:rPr>
                        <w:t>Schiffsche</w:t>
                      </w:r>
                      <w:proofErr w:type="spellEnd"/>
                      <w:r>
                        <w:rPr>
                          <w:color w:val="auto"/>
                        </w:rPr>
                        <w:t xml:space="preserve"> Reagenz als Nachweis für Aldehyde vorgestellt werden. Im Anschluss an diesem Versuch könnten weitere Nachweise für Aldehyde erarbeitet und ausprobiert werden. Da bei der </w:t>
                      </w:r>
                      <w:proofErr w:type="spellStart"/>
                      <w:r>
                        <w:rPr>
                          <w:color w:val="auto"/>
                        </w:rPr>
                        <w:t>Schiffschen</w:t>
                      </w:r>
                      <w:proofErr w:type="spellEnd"/>
                      <w:r>
                        <w:rPr>
                          <w:color w:val="auto"/>
                        </w:rPr>
                        <w:t xml:space="preserve"> Probe das krebserzeugende Fuchsin entstehen kann, darf dieser Versuch nur als Lehrerversuch durchgeführt werden. Außerdem sollten auch Frauen diesen Versuch nicht zu oft durchführen. </w:t>
                      </w:r>
                    </w:p>
                    <w:p w:rsidR="00DE63CA" w:rsidRPr="00F31EBF" w:rsidRDefault="00DE63CA" w:rsidP="00DE63CA">
                      <w:pPr>
                        <w:rPr>
                          <w:color w:val="auto"/>
                        </w:rPr>
                      </w:pPr>
                      <w:r>
                        <w:t xml:space="preserve">Bei der Oxidation von Ketonen entstehen Kohlenstoffdioxid und Wasser. Das Kohlenstoffdioxid könnte mithilfe von Calciumhydroxid durch Fällung als Calciumcarbonat nachgewiesen werden. Hierbei müssen die SuS mit der Methode zum Auffangen eines Gases vertraut sein. Dieser Nachweis könnte erfolgen, indem die Reaktion in einem Reagenzglas abläuft, auf welches im Anschluss ein Gärröhrchen mit Calciumhydroxid-Lösung gesetzt wird. Dieser Nachweis ist schwieriger als der </w:t>
                      </w:r>
                      <w:proofErr w:type="spellStart"/>
                      <w:r>
                        <w:t>Aldehydnachweis</w:t>
                      </w:r>
                      <w:proofErr w:type="spellEnd"/>
                      <w:r>
                        <w:t>, da die SuS schnell genug handeln müssen, um genügend Kohlenstoffdioxidgas aufzufangen-</w:t>
                      </w:r>
                    </w:p>
                  </w:txbxContent>
                </v:textbox>
                <w10:anchorlock/>
              </v:shape>
            </w:pict>
          </mc:Fallback>
        </mc:AlternateContent>
      </w:r>
    </w:p>
    <w:p w:rsidR="00EB619B" w:rsidRDefault="00DE63CA"/>
    <w:sectPr w:rsidR="00EB61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857"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CA"/>
    <w:rsid w:val="000C761C"/>
    <w:rsid w:val="00125E17"/>
    <w:rsid w:val="00176474"/>
    <w:rsid w:val="0034208B"/>
    <w:rsid w:val="003E3AD9"/>
    <w:rsid w:val="00641C7C"/>
    <w:rsid w:val="006B6773"/>
    <w:rsid w:val="006E23EA"/>
    <w:rsid w:val="007633FF"/>
    <w:rsid w:val="00855922"/>
    <w:rsid w:val="00990B4C"/>
    <w:rsid w:val="00A22302"/>
    <w:rsid w:val="00BF1E02"/>
    <w:rsid w:val="00DE63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33AA"/>
  <w15:chartTrackingRefBased/>
  <w15:docId w15:val="{8447146F-11AE-4DD2-AD24-862A228E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DE63C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DE63C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E63C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E63C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E63C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DE63C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DE63C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DE63C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E63C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E63C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63CA"/>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DE63CA"/>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DE63C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DE63C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DE63C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DE63C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DE63C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E63C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E63C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E63CA"/>
    <w:pPr>
      <w:spacing w:line="240" w:lineRule="auto"/>
    </w:pPr>
    <w:rPr>
      <w:bCs/>
      <w:color w:val="auto"/>
      <w:sz w:val="18"/>
      <w:szCs w:val="18"/>
    </w:rPr>
  </w:style>
  <w:style w:type="character" w:styleId="Hyperlink">
    <w:name w:val="Hyperlink"/>
    <w:basedOn w:val="Absatz-Standardschriftart"/>
    <w:uiPriority w:val="99"/>
    <w:unhideWhenUsed/>
    <w:rsid w:val="00DE63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hyperlink" Target="http://www.chemieunterricht.de/dc2/katalyse/vkat-015.ht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2636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Röver</dc:creator>
  <cp:keywords/>
  <dc:description/>
  <cp:lastModifiedBy>Ann-Kathrin Röver</cp:lastModifiedBy>
  <cp:revision>1</cp:revision>
  <dcterms:created xsi:type="dcterms:W3CDTF">2016-08-08T18:49:00Z</dcterms:created>
  <dcterms:modified xsi:type="dcterms:W3CDTF">2016-08-08T18:49:00Z</dcterms:modified>
</cp:coreProperties>
</file>