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191" w:rsidRPr="00DE4191" w:rsidRDefault="00DE4191" w:rsidP="00DE4191">
      <w:pPr>
        <w:pStyle w:val="berschrift2"/>
        <w:rPr>
          <w:color w:val="auto"/>
        </w:rPr>
      </w:pPr>
      <w:r>
        <w:rPr>
          <w:color w:val="auto"/>
        </w:rPr>
        <w:t>Katalytische Säurekorrosion von Aluminium</w:t>
      </w:r>
      <w:bookmarkStart w:id="0" w:name="_GoBack"/>
      <w:bookmarkEnd w:id="0"/>
    </w:p>
    <w:tbl>
      <w:tblPr>
        <w:tblW w:w="9322" w:type="dxa"/>
        <w:tblBorders>
          <w:top w:val="single" w:sz="8" w:space="0" w:color="4F81BD"/>
          <w:left w:val="single" w:sz="8" w:space="0" w:color="4F81BD"/>
          <w:bottom w:val="single" w:sz="8" w:space="0" w:color="4F81BD"/>
          <w:right w:val="single" w:sz="8" w:space="0" w:color="4F81BD"/>
        </w:tblBorders>
        <w:tblLayout w:type="fixed"/>
        <w:tblLook w:val="04A0" w:firstRow="1" w:lastRow="0" w:firstColumn="1" w:lastColumn="0" w:noHBand="0" w:noVBand="1"/>
      </w:tblPr>
      <w:tblGrid>
        <w:gridCol w:w="1009"/>
        <w:gridCol w:w="1009"/>
        <w:gridCol w:w="1009"/>
        <w:gridCol w:w="1009"/>
        <w:gridCol w:w="1175"/>
        <w:gridCol w:w="993"/>
        <w:gridCol w:w="975"/>
        <w:gridCol w:w="1009"/>
        <w:gridCol w:w="1134"/>
      </w:tblGrid>
      <w:tr w:rsidR="00DE4191" w:rsidRPr="009C5E28" w:rsidTr="000F22FC">
        <w:tc>
          <w:tcPr>
            <w:tcW w:w="9322" w:type="dxa"/>
            <w:gridSpan w:val="9"/>
            <w:shd w:val="clear" w:color="auto" w:fill="4F81BD"/>
            <w:vAlign w:val="center"/>
          </w:tcPr>
          <w:p w:rsidR="00DE4191" w:rsidRPr="00F31EBF" w:rsidRDefault="00DE4191" w:rsidP="000F22FC">
            <w:pPr>
              <w:spacing w:after="0"/>
              <w:jc w:val="center"/>
              <w:rPr>
                <w:b/>
                <w:bCs/>
                <w:color w:val="FFFFFF" w:themeColor="background1"/>
              </w:rPr>
            </w:pPr>
            <w:r w:rsidRPr="00F31EBF">
              <w:rPr>
                <w:b/>
                <w:bCs/>
                <w:color w:val="FFFFFF" w:themeColor="background1"/>
              </w:rPr>
              <w:t>Gefahrenstoffe</w:t>
            </w:r>
          </w:p>
        </w:tc>
      </w:tr>
      <w:tr w:rsidR="00DE419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4191" w:rsidRPr="009C5E28" w:rsidRDefault="00DE4191" w:rsidP="000F22FC">
            <w:pPr>
              <w:spacing w:after="0" w:line="276" w:lineRule="auto"/>
              <w:jc w:val="center"/>
              <w:rPr>
                <w:b/>
                <w:bCs/>
              </w:rPr>
            </w:pPr>
            <w:r>
              <w:rPr>
                <w:sz w:val="20"/>
              </w:rPr>
              <w:t>Wasser</w:t>
            </w:r>
          </w:p>
        </w:tc>
        <w:tc>
          <w:tcPr>
            <w:tcW w:w="3177" w:type="dxa"/>
            <w:gridSpan w:val="3"/>
            <w:tcBorders>
              <w:top w:val="single" w:sz="8" w:space="0" w:color="4F81BD"/>
              <w:bottom w:val="single" w:sz="8" w:space="0" w:color="4F81BD"/>
            </w:tcBorders>
            <w:shd w:val="clear" w:color="auto" w:fill="auto"/>
            <w:vAlign w:val="center"/>
          </w:tcPr>
          <w:p w:rsidR="00DE4191" w:rsidRPr="00250F65" w:rsidRDefault="00DE4191" w:rsidP="000F22FC">
            <w:pPr>
              <w:spacing w:after="0"/>
              <w:jc w:val="center"/>
              <w:rPr>
                <w:sz w:val="20"/>
                <w:szCs w:val="18"/>
              </w:rPr>
            </w:pPr>
            <w:r w:rsidRPr="00250F65">
              <w:rPr>
                <w:sz w:val="20"/>
                <w:szCs w:val="18"/>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4191" w:rsidRPr="00250F65" w:rsidRDefault="00DE4191" w:rsidP="000F22FC">
            <w:pPr>
              <w:spacing w:after="0"/>
              <w:jc w:val="center"/>
              <w:rPr>
                <w:sz w:val="20"/>
                <w:szCs w:val="18"/>
              </w:rPr>
            </w:pPr>
            <w:r w:rsidRPr="00250F65">
              <w:rPr>
                <w:sz w:val="20"/>
                <w:szCs w:val="18"/>
              </w:rPr>
              <w:t>P: -</w:t>
            </w:r>
          </w:p>
        </w:tc>
      </w:tr>
      <w:tr w:rsidR="00DE419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4191" w:rsidRDefault="00DE4191" w:rsidP="000F22FC">
            <w:pPr>
              <w:spacing w:after="0" w:line="276" w:lineRule="auto"/>
              <w:jc w:val="center"/>
              <w:rPr>
                <w:sz w:val="20"/>
              </w:rPr>
            </w:pPr>
            <w:r>
              <w:rPr>
                <w:sz w:val="20"/>
              </w:rPr>
              <w:t>Petrolether</w:t>
            </w:r>
          </w:p>
        </w:tc>
        <w:tc>
          <w:tcPr>
            <w:tcW w:w="3177" w:type="dxa"/>
            <w:gridSpan w:val="3"/>
            <w:tcBorders>
              <w:top w:val="single" w:sz="8" w:space="0" w:color="4F81BD"/>
              <w:bottom w:val="single" w:sz="8" w:space="0" w:color="4F81BD"/>
            </w:tcBorders>
            <w:shd w:val="clear" w:color="auto" w:fill="auto"/>
            <w:vAlign w:val="center"/>
          </w:tcPr>
          <w:p w:rsidR="00DE4191" w:rsidRPr="00250F65" w:rsidRDefault="00DE4191" w:rsidP="000F22FC">
            <w:pPr>
              <w:spacing w:after="0"/>
              <w:jc w:val="center"/>
              <w:rPr>
                <w:sz w:val="20"/>
                <w:szCs w:val="18"/>
              </w:rPr>
            </w:pPr>
            <w:r w:rsidRPr="00250F65">
              <w:rPr>
                <w:sz w:val="20"/>
                <w:szCs w:val="18"/>
              </w:rPr>
              <w:t>H: 225-302-304-315-336-411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4191" w:rsidRPr="00250F65" w:rsidRDefault="00DE4191" w:rsidP="000F22FC">
            <w:pPr>
              <w:spacing w:after="0"/>
              <w:jc w:val="center"/>
              <w:rPr>
                <w:sz w:val="20"/>
                <w:szCs w:val="18"/>
              </w:rPr>
            </w:pPr>
            <w:r w:rsidRPr="00250F65">
              <w:rPr>
                <w:sz w:val="20"/>
                <w:szCs w:val="18"/>
              </w:rPr>
              <w:t>P: 210-261-273-280-301+310-331</w:t>
            </w:r>
          </w:p>
        </w:tc>
      </w:tr>
      <w:tr w:rsidR="00DE419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4191" w:rsidRDefault="00DE4191" w:rsidP="000F22FC">
            <w:pPr>
              <w:spacing w:after="0" w:line="276" w:lineRule="auto"/>
              <w:jc w:val="center"/>
              <w:rPr>
                <w:sz w:val="20"/>
              </w:rPr>
            </w:pPr>
            <w:r>
              <w:rPr>
                <w:sz w:val="20"/>
              </w:rPr>
              <w:t>Natriumchlorid</w:t>
            </w:r>
          </w:p>
        </w:tc>
        <w:tc>
          <w:tcPr>
            <w:tcW w:w="3177" w:type="dxa"/>
            <w:gridSpan w:val="3"/>
            <w:tcBorders>
              <w:top w:val="single" w:sz="8" w:space="0" w:color="4F81BD"/>
              <w:bottom w:val="single" w:sz="8" w:space="0" w:color="4F81BD"/>
            </w:tcBorders>
            <w:shd w:val="clear" w:color="auto" w:fill="auto"/>
            <w:vAlign w:val="center"/>
          </w:tcPr>
          <w:p w:rsidR="00DE4191" w:rsidRPr="00250F65" w:rsidRDefault="00DE4191" w:rsidP="000F22FC">
            <w:pPr>
              <w:spacing w:after="0"/>
              <w:jc w:val="center"/>
              <w:rPr>
                <w:sz w:val="20"/>
                <w:szCs w:val="18"/>
              </w:rPr>
            </w:pPr>
            <w:r>
              <w:rPr>
                <w:sz w:val="20"/>
                <w:szCs w:val="18"/>
              </w:rPr>
              <w:t>H: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4191" w:rsidRPr="00250F65" w:rsidRDefault="00DE4191" w:rsidP="000F22FC">
            <w:pPr>
              <w:spacing w:after="0"/>
              <w:jc w:val="center"/>
              <w:rPr>
                <w:sz w:val="20"/>
                <w:szCs w:val="18"/>
              </w:rPr>
            </w:pPr>
            <w:r>
              <w:rPr>
                <w:sz w:val="20"/>
                <w:szCs w:val="18"/>
              </w:rPr>
              <w:t>P: -</w:t>
            </w:r>
          </w:p>
        </w:tc>
      </w:tr>
      <w:tr w:rsidR="00DE419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4191" w:rsidRDefault="00DE4191" w:rsidP="000F22FC">
            <w:pPr>
              <w:spacing w:after="0" w:line="276" w:lineRule="auto"/>
              <w:jc w:val="center"/>
              <w:rPr>
                <w:sz w:val="20"/>
              </w:rPr>
            </w:pPr>
            <w:r>
              <w:rPr>
                <w:sz w:val="20"/>
              </w:rPr>
              <w:t>Kupferchlorid-</w:t>
            </w:r>
            <w:proofErr w:type="spellStart"/>
            <w:r>
              <w:rPr>
                <w:sz w:val="20"/>
              </w:rPr>
              <w:t>Dihydrat</w:t>
            </w:r>
            <w:proofErr w:type="spellEnd"/>
            <w:r>
              <w:rPr>
                <w:sz w:val="20"/>
              </w:rPr>
              <w:t xml:space="preserve"> (0,1</w:t>
            </w:r>
            <m:oMath>
              <m:f>
                <m:fPr>
                  <m:ctrlPr>
                    <w:rPr>
                      <w:rFonts w:ascii="Cambria Math" w:hAnsi="Cambria Math"/>
                      <w:sz w:val="20"/>
                    </w:rPr>
                  </m:ctrlPr>
                </m:fPr>
                <m:num>
                  <m:r>
                    <m:rPr>
                      <m:sty m:val="p"/>
                    </m:rPr>
                    <w:rPr>
                      <w:rFonts w:ascii="Cambria Math" w:hAnsi="Cambria Math"/>
                      <w:sz w:val="20"/>
                    </w:rPr>
                    <m:t>mol</m:t>
                  </m:r>
                </m:num>
                <m:den>
                  <m:r>
                    <m:rPr>
                      <m:sty m:val="p"/>
                    </m:rPr>
                    <w:rPr>
                      <w:rFonts w:ascii="Cambria Math" w:hAnsi="Cambria Math"/>
                      <w:sz w:val="20"/>
                    </w:rPr>
                    <m:t>L</m:t>
                  </m:r>
                </m:den>
              </m:f>
            </m:oMath>
            <w:r>
              <w:rPr>
                <w:rFonts w:eastAsiaTheme="minorEastAsia"/>
                <w:sz w:val="20"/>
              </w:rPr>
              <w:t>)</w:t>
            </w:r>
          </w:p>
        </w:tc>
        <w:tc>
          <w:tcPr>
            <w:tcW w:w="3177" w:type="dxa"/>
            <w:gridSpan w:val="3"/>
            <w:tcBorders>
              <w:top w:val="single" w:sz="8" w:space="0" w:color="4F81BD"/>
              <w:bottom w:val="single" w:sz="8" w:space="0" w:color="4F81BD"/>
            </w:tcBorders>
            <w:shd w:val="clear" w:color="auto" w:fill="auto"/>
            <w:vAlign w:val="center"/>
          </w:tcPr>
          <w:p w:rsidR="00DE4191" w:rsidRPr="00250F65" w:rsidRDefault="00DE4191" w:rsidP="000F22FC">
            <w:pPr>
              <w:spacing w:after="0"/>
              <w:jc w:val="center"/>
              <w:rPr>
                <w:sz w:val="20"/>
                <w:szCs w:val="18"/>
              </w:rPr>
            </w:pPr>
            <w:r w:rsidRPr="00250F65">
              <w:rPr>
                <w:sz w:val="20"/>
                <w:szCs w:val="18"/>
              </w:rPr>
              <w:t xml:space="preserve">H: </w:t>
            </w:r>
            <w:r>
              <w:rPr>
                <w:sz w:val="20"/>
                <w:szCs w:val="18"/>
              </w:rPr>
              <w:t>302-319-315-410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4191" w:rsidRPr="00250F65" w:rsidRDefault="00DE4191" w:rsidP="000F22FC">
            <w:pPr>
              <w:spacing w:after="0"/>
              <w:jc w:val="center"/>
              <w:rPr>
                <w:sz w:val="20"/>
                <w:szCs w:val="18"/>
              </w:rPr>
            </w:pPr>
            <w:r>
              <w:rPr>
                <w:sz w:val="20"/>
                <w:szCs w:val="18"/>
              </w:rPr>
              <w:t>P: 260-</w:t>
            </w:r>
            <w:r w:rsidRPr="00250F65">
              <w:rPr>
                <w:sz w:val="20"/>
                <w:szCs w:val="18"/>
              </w:rPr>
              <w:t>2</w:t>
            </w:r>
            <w:r>
              <w:rPr>
                <w:sz w:val="20"/>
                <w:szCs w:val="18"/>
              </w:rPr>
              <w:t>73-302+352-305+351+338</w:t>
            </w:r>
          </w:p>
        </w:tc>
      </w:tr>
      <w:tr w:rsidR="00DE4191" w:rsidRPr="009C5E28" w:rsidTr="000F22F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DE4191" w:rsidRDefault="00DE4191" w:rsidP="000F22FC">
            <w:pPr>
              <w:spacing w:after="0" w:line="276" w:lineRule="auto"/>
              <w:jc w:val="center"/>
              <w:rPr>
                <w:sz w:val="20"/>
              </w:rPr>
            </w:pPr>
            <w:r>
              <w:rPr>
                <w:sz w:val="20"/>
              </w:rPr>
              <w:t>Kupfersulfat-</w:t>
            </w:r>
            <w:proofErr w:type="spellStart"/>
            <w:r>
              <w:rPr>
                <w:sz w:val="20"/>
              </w:rPr>
              <w:t>Pentahydrat</w:t>
            </w:r>
            <w:proofErr w:type="spellEnd"/>
            <w:r>
              <w:rPr>
                <w:sz w:val="20"/>
              </w:rPr>
              <w:t xml:space="preserve"> (0,1 </w:t>
            </w:r>
            <m:oMath>
              <m:f>
                <m:fPr>
                  <m:ctrlPr>
                    <w:rPr>
                      <w:rFonts w:ascii="Cambria Math" w:hAnsi="Cambria Math"/>
                      <w:sz w:val="20"/>
                    </w:rPr>
                  </m:ctrlPr>
                </m:fPr>
                <m:num>
                  <m:r>
                    <m:rPr>
                      <m:sty m:val="p"/>
                    </m:rPr>
                    <w:rPr>
                      <w:rFonts w:ascii="Cambria Math" w:hAnsi="Cambria Math"/>
                      <w:sz w:val="20"/>
                    </w:rPr>
                    <m:t>mol</m:t>
                  </m:r>
                </m:num>
                <m:den>
                  <m:r>
                    <m:rPr>
                      <m:sty m:val="p"/>
                    </m:rPr>
                    <w:rPr>
                      <w:rFonts w:ascii="Cambria Math" w:hAnsi="Cambria Math"/>
                      <w:sz w:val="20"/>
                    </w:rPr>
                    <m:t>L</m:t>
                  </m:r>
                </m:den>
              </m:f>
            </m:oMath>
            <w:r>
              <w:rPr>
                <w:rFonts w:eastAsiaTheme="minorEastAsia"/>
                <w:sz w:val="20"/>
              </w:rPr>
              <w:t>)</w:t>
            </w:r>
          </w:p>
        </w:tc>
        <w:tc>
          <w:tcPr>
            <w:tcW w:w="3177" w:type="dxa"/>
            <w:gridSpan w:val="3"/>
            <w:tcBorders>
              <w:top w:val="single" w:sz="8" w:space="0" w:color="4F81BD"/>
              <w:bottom w:val="single" w:sz="8" w:space="0" w:color="4F81BD"/>
            </w:tcBorders>
            <w:shd w:val="clear" w:color="auto" w:fill="auto"/>
            <w:vAlign w:val="center"/>
          </w:tcPr>
          <w:p w:rsidR="00DE4191" w:rsidRPr="00250F65" w:rsidRDefault="00DE4191" w:rsidP="000F22FC">
            <w:pPr>
              <w:spacing w:after="0"/>
              <w:jc w:val="center"/>
              <w:rPr>
                <w:sz w:val="20"/>
                <w:szCs w:val="18"/>
              </w:rPr>
            </w:pPr>
            <w:r w:rsidRPr="00250F65">
              <w:rPr>
                <w:sz w:val="20"/>
                <w:szCs w:val="18"/>
              </w:rPr>
              <w:t xml:space="preserve">H: </w:t>
            </w:r>
            <w:r>
              <w:rPr>
                <w:sz w:val="20"/>
                <w:szCs w:val="18"/>
              </w:rPr>
              <w:t>302-319-315-410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DE4191" w:rsidRPr="00250F65" w:rsidRDefault="00DE4191" w:rsidP="000F22FC">
            <w:pPr>
              <w:spacing w:after="0"/>
              <w:jc w:val="center"/>
              <w:rPr>
                <w:sz w:val="20"/>
                <w:szCs w:val="18"/>
              </w:rPr>
            </w:pPr>
            <w:r w:rsidRPr="00250F65">
              <w:rPr>
                <w:sz w:val="20"/>
                <w:szCs w:val="18"/>
              </w:rPr>
              <w:t>P: 2</w:t>
            </w:r>
            <w:r>
              <w:rPr>
                <w:sz w:val="20"/>
                <w:szCs w:val="18"/>
              </w:rPr>
              <w:t>73-302+352-305+351+338</w:t>
            </w:r>
          </w:p>
        </w:tc>
      </w:tr>
      <w:tr w:rsidR="00DE4191" w:rsidRPr="009C5E28" w:rsidTr="000F22FC">
        <w:tc>
          <w:tcPr>
            <w:tcW w:w="1009" w:type="dxa"/>
            <w:tcBorders>
              <w:top w:val="single" w:sz="8" w:space="0" w:color="4F81BD"/>
              <w:left w:val="single" w:sz="8" w:space="0" w:color="4F81BD"/>
              <w:bottom w:val="single" w:sz="8" w:space="0" w:color="4F81BD"/>
            </w:tcBorders>
            <w:shd w:val="clear" w:color="auto" w:fill="auto"/>
            <w:vAlign w:val="center"/>
          </w:tcPr>
          <w:p w:rsidR="00DE4191" w:rsidRPr="009C5E28" w:rsidRDefault="00DE4191" w:rsidP="000F22FC">
            <w:pPr>
              <w:spacing w:after="0"/>
              <w:jc w:val="center"/>
              <w:rPr>
                <w:b/>
                <w:bCs/>
              </w:rPr>
            </w:pPr>
            <w:r w:rsidRPr="00336881">
              <w:rPr>
                <w:rFonts w:asciiTheme="majorHAnsi" w:hAnsiTheme="majorHAnsi"/>
                <w:b/>
                <w:noProof/>
                <w:color w:val="auto"/>
                <w:lang w:eastAsia="de-DE"/>
              </w:rPr>
              <w:drawing>
                <wp:inline distT="0" distB="0" distL="0" distR="0" wp14:anchorId="40090ED5" wp14:editId="368AE8EE">
                  <wp:extent cx="538061" cy="540000"/>
                  <wp:effectExtent l="0" t="0" r="0" b="0"/>
                  <wp:docPr id="31" name="Bild 6" descr="C:\Users\TOSHIBA\Desktop\SVP_Chemie\Protokolle\Piktogramme\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OSHIBA\Desktop\SVP_Chemie\Protokolle\Piktogramme\Ätzend.png"/>
                          <pic:cNvPicPr>
                            <a:picLocks noChangeAspect="1" noChangeArrowheads="1"/>
                          </pic:cNvPicPr>
                        </pic:nvPicPr>
                        <pic:blipFill>
                          <a:blip r:embed="rId5" cstate="email">
                            <a:duotone>
                              <a:schemeClr val="bg2">
                                <a:shade val="45000"/>
                                <a:satMod val="135000"/>
                              </a:schemeClr>
                              <a:prstClr val="white"/>
                            </a:duotone>
                            <a:extLst>
                              <a:ext uri="{28A0092B-C50C-407E-A947-70E740481C1C}">
                                <a14:useLocalDpi xmlns:a14="http://schemas.microsoft.com/office/drawing/2010/main"/>
                              </a:ext>
                            </a:extLst>
                          </a:blip>
                          <a:srcRect/>
                          <a:stretch>
                            <a:fillRect/>
                          </a:stretch>
                        </pic:blipFill>
                        <pic:spPr bwMode="auto">
                          <a:xfrm>
                            <a:off x="0" y="0"/>
                            <a:ext cx="538061" cy="540000"/>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E4191" w:rsidRPr="009C5E28" w:rsidRDefault="00DE4191" w:rsidP="000F22FC">
            <w:pPr>
              <w:spacing w:after="0"/>
              <w:jc w:val="center"/>
            </w:pPr>
            <w:r>
              <w:rPr>
                <w:noProof/>
                <w:lang w:eastAsia="de-DE"/>
              </w:rPr>
              <w:drawing>
                <wp:inline distT="0" distB="0" distL="0" distR="0" wp14:anchorId="0A16CD5A" wp14:editId="27D0B5D6">
                  <wp:extent cx="504190" cy="504190"/>
                  <wp:effectExtent l="0" t="0" r="0" b="0"/>
                  <wp:docPr id="32" name="Grafi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E4191" w:rsidRPr="009C5E28" w:rsidRDefault="00DE4191" w:rsidP="000F22FC">
            <w:pPr>
              <w:spacing w:after="0"/>
              <w:jc w:val="center"/>
            </w:pPr>
            <w:r>
              <w:rPr>
                <w:noProof/>
                <w:lang w:eastAsia="de-DE"/>
              </w:rPr>
              <w:drawing>
                <wp:inline distT="0" distB="0" distL="0" distR="0" wp14:anchorId="0CDC98CE" wp14:editId="05DEC3F2">
                  <wp:extent cx="485775" cy="485775"/>
                  <wp:effectExtent l="19050" t="0" r="9525" b="0"/>
                  <wp:docPr id="75" name="Bild 12" descr="C:\Users\nora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raa\Documents\SVP Chemie\Piktogramme\Piktogramme\Brennbar.pn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485775" cy="485775"/>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E4191" w:rsidRPr="009C5E28" w:rsidRDefault="00DE4191" w:rsidP="000F22FC">
            <w:pPr>
              <w:spacing w:after="0"/>
              <w:jc w:val="center"/>
            </w:pPr>
            <w:r>
              <w:rPr>
                <w:noProof/>
                <w:lang w:eastAsia="de-DE"/>
              </w:rPr>
              <w:drawing>
                <wp:inline distT="0" distB="0" distL="0" distR="0" wp14:anchorId="4E0FDBBA" wp14:editId="516D4CFB">
                  <wp:extent cx="504190" cy="504190"/>
                  <wp:effectExtent l="0" t="0" r="0" b="0"/>
                  <wp:docPr id="34" name="Grafi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DE4191" w:rsidRPr="009C5E28" w:rsidRDefault="00DE4191" w:rsidP="000F22FC">
            <w:pPr>
              <w:spacing w:after="0"/>
              <w:jc w:val="center"/>
            </w:pPr>
            <w:r>
              <w:rPr>
                <w:noProof/>
                <w:lang w:eastAsia="de-DE"/>
              </w:rPr>
              <w:drawing>
                <wp:inline distT="0" distB="0" distL="0" distR="0" wp14:anchorId="692F0DED" wp14:editId="4D3627A5">
                  <wp:extent cx="504190" cy="504190"/>
                  <wp:effectExtent l="0" t="0" r="0" b="0"/>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DE4191" w:rsidRPr="009C5E28" w:rsidRDefault="00DE4191" w:rsidP="000F22FC">
            <w:pPr>
              <w:spacing w:after="0"/>
              <w:jc w:val="center"/>
            </w:pPr>
            <w:r w:rsidRPr="00250F65">
              <w:rPr>
                <w:noProof/>
                <w:lang w:eastAsia="de-DE"/>
              </w:rPr>
              <w:drawing>
                <wp:inline distT="0" distB="0" distL="0" distR="0" wp14:anchorId="319BCA05" wp14:editId="40A1FCEE">
                  <wp:extent cx="495300" cy="495300"/>
                  <wp:effectExtent l="0" t="0" r="0" b="0"/>
                  <wp:docPr id="76" name="Grafik 76" descr="C:\Users\Ann-Kathrin\Documents\Studium\SoSe16\SVP\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Kathrin\Documents\Studium\SoSe16\SVP\Piktogramme\Gesundheitsgefahr.png"/>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495300" cy="49530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DE4191" w:rsidRPr="009C5E28" w:rsidRDefault="00DE4191" w:rsidP="000F22FC">
            <w:pPr>
              <w:spacing w:after="0"/>
              <w:jc w:val="center"/>
            </w:pPr>
            <w:r>
              <w:rPr>
                <w:noProof/>
                <w:lang w:eastAsia="de-DE"/>
              </w:rPr>
              <w:drawing>
                <wp:inline distT="0" distB="0" distL="0" distR="0" wp14:anchorId="21710B82" wp14:editId="08D333ED">
                  <wp:extent cx="504190" cy="504190"/>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DE4191" w:rsidRPr="009C5E28" w:rsidRDefault="00DE4191" w:rsidP="000F22FC">
            <w:pPr>
              <w:spacing w:after="0"/>
              <w:jc w:val="center"/>
            </w:pPr>
            <w:r w:rsidRPr="00250F65">
              <w:rPr>
                <w:noProof/>
                <w:lang w:eastAsia="de-DE"/>
              </w:rPr>
              <w:drawing>
                <wp:inline distT="0" distB="0" distL="0" distR="0" wp14:anchorId="297BB955" wp14:editId="0A81A821">
                  <wp:extent cx="504825" cy="504825"/>
                  <wp:effectExtent l="0" t="0" r="9525" b="9525"/>
                  <wp:docPr id="77" name="Grafik 77" descr="C:\Users\Ann-Kathrin\Documents\Studium\SoSe16\SVP\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n-Kathrin\Documents\Studium\SoSe16\SVP\Piktogramme\Reizend.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04825" cy="50482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DE4191" w:rsidRPr="009C5E28" w:rsidRDefault="00DE4191" w:rsidP="000F22FC">
            <w:pPr>
              <w:spacing w:after="0"/>
              <w:jc w:val="center"/>
            </w:pPr>
            <w:r w:rsidRPr="00250F65">
              <w:rPr>
                <w:noProof/>
                <w:lang w:eastAsia="de-DE"/>
              </w:rPr>
              <w:drawing>
                <wp:inline distT="0" distB="0" distL="0" distR="0" wp14:anchorId="2B1BC0F2" wp14:editId="62C5DE47">
                  <wp:extent cx="533400" cy="533400"/>
                  <wp:effectExtent l="0" t="0" r="0" b="0"/>
                  <wp:docPr id="78" name="Grafik 78" descr="C:\Users\Ann-Kathrin\Documents\Studium\SoSe16\SVP\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n-Kathrin\Documents\Studium\SoSe16\SVP\Piktogramme\Umweltgefahr.pn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33400" cy="533400"/>
                          </a:xfrm>
                          <a:prstGeom prst="rect">
                            <a:avLst/>
                          </a:prstGeom>
                          <a:noFill/>
                          <a:ln>
                            <a:noFill/>
                          </a:ln>
                        </pic:spPr>
                      </pic:pic>
                    </a:graphicData>
                  </a:graphic>
                </wp:inline>
              </w:drawing>
            </w:r>
          </w:p>
        </w:tc>
      </w:tr>
    </w:tbl>
    <w:p w:rsidR="00DE4191" w:rsidRDefault="00DE4191" w:rsidP="00DE4191">
      <w:pPr>
        <w:tabs>
          <w:tab w:val="left" w:pos="1701"/>
          <w:tab w:val="left" w:pos="1985"/>
        </w:tabs>
        <w:ind w:left="1980" w:hanging="1980"/>
      </w:pPr>
    </w:p>
    <w:p w:rsidR="00DE4191" w:rsidRPr="00957F34" w:rsidRDefault="00DE4191" w:rsidP="00DE4191">
      <w:pPr>
        <w:tabs>
          <w:tab w:val="left" w:pos="1701"/>
          <w:tab w:val="left" w:pos="1985"/>
        </w:tabs>
        <w:ind w:left="1980" w:hanging="1980"/>
      </w:pPr>
      <w:r w:rsidRPr="00957F34">
        <w:t xml:space="preserve">Materialien: </w:t>
      </w:r>
      <w:r w:rsidRPr="00957F34">
        <w:tab/>
      </w:r>
      <w:r w:rsidRPr="00957F34">
        <w:tab/>
      </w:r>
      <w:r>
        <w:t>5 Teelichtbehälter aus Aluminium, Leitungswasser, Spatel, Glasspatel, 2 Bechergläser</w:t>
      </w:r>
    </w:p>
    <w:p w:rsidR="00DE4191" w:rsidRPr="00ED07C2" w:rsidRDefault="00DE4191" w:rsidP="00DE4191">
      <w:pPr>
        <w:tabs>
          <w:tab w:val="left" w:pos="1701"/>
          <w:tab w:val="left" w:pos="1985"/>
        </w:tabs>
        <w:ind w:left="1980" w:hanging="1980"/>
      </w:pPr>
      <w:r>
        <w:t>Chemikalien:</w:t>
      </w:r>
      <w:r>
        <w:tab/>
      </w:r>
      <w:r>
        <w:tab/>
        <w:t>Wasser, Kupferchlorid-</w:t>
      </w:r>
      <w:proofErr w:type="spellStart"/>
      <w:r>
        <w:t>Dihydrat</w:t>
      </w:r>
      <w:proofErr w:type="spellEnd"/>
      <w:r>
        <w:t>, Kupfersulfat-</w:t>
      </w:r>
      <w:proofErr w:type="spellStart"/>
      <w:r>
        <w:t>Pentahydrat</w:t>
      </w:r>
      <w:proofErr w:type="spellEnd"/>
      <w:r>
        <w:t>, Natriumchlorid, Petrolether</w:t>
      </w:r>
    </w:p>
    <w:p w:rsidR="00DE4191" w:rsidRDefault="00DE4191" w:rsidP="00DE4191">
      <w:pPr>
        <w:spacing w:after="0"/>
        <w:ind w:left="1979" w:hanging="1979"/>
      </w:pPr>
      <w:r>
        <w:t xml:space="preserve">Durchführung: </w:t>
      </w:r>
      <w:r>
        <w:tab/>
        <w:t>Vor Beginn des Versuchs müssen die Aluminium-Schälchen mithilfe von Petrolether von den Wachsrückständen befreit werden. Dabei sollten Handschuhe getragen werden. Dies geschieht durch die Lehrkraft. Im Anschluss werden sowohl 0,1 </w:t>
      </w:r>
      <m:oMath>
        <m:f>
          <m:fPr>
            <m:ctrlPr>
              <w:rPr>
                <w:rFonts w:ascii="Cambria Math" w:hAnsi="Cambria Math"/>
                <w:sz w:val="20"/>
              </w:rPr>
            </m:ctrlPr>
          </m:fPr>
          <m:num>
            <m:r>
              <m:rPr>
                <m:sty m:val="p"/>
              </m:rPr>
              <w:rPr>
                <w:rFonts w:ascii="Cambria Math" w:hAnsi="Cambria Math"/>
                <w:sz w:val="20"/>
              </w:rPr>
              <m:t>mol</m:t>
            </m:r>
          </m:num>
          <m:den>
            <m:r>
              <m:rPr>
                <m:sty m:val="p"/>
              </m:rPr>
              <w:rPr>
                <w:rFonts w:ascii="Cambria Math" w:hAnsi="Cambria Math"/>
                <w:sz w:val="20"/>
              </w:rPr>
              <m:t>L</m:t>
            </m:r>
          </m:den>
        </m:f>
      </m:oMath>
      <w:r>
        <w:rPr>
          <w:rFonts w:eastAsiaTheme="minorEastAsia"/>
          <w:sz w:val="20"/>
        </w:rPr>
        <w:t xml:space="preserve"> von </w:t>
      </w:r>
      <w:r>
        <w:t>30 </w:t>
      </w:r>
      <w:proofErr w:type="spellStart"/>
      <w:r>
        <w:t>mL</w:t>
      </w:r>
      <w:proofErr w:type="spellEnd"/>
      <w:r>
        <w:t xml:space="preserve"> CuSO</w:t>
      </w:r>
      <w:r>
        <w:rPr>
          <w:vertAlign w:val="subscript"/>
        </w:rPr>
        <w:t>4</w:t>
      </w:r>
      <w:r>
        <w:t xml:space="preserve"> 5 H</w:t>
      </w:r>
      <w:r>
        <w:rPr>
          <w:vertAlign w:val="subscript"/>
        </w:rPr>
        <w:t>2</w:t>
      </w:r>
      <w:r>
        <w:t>O als auch 30 </w:t>
      </w:r>
      <w:proofErr w:type="spellStart"/>
      <w:r>
        <w:t>mL</w:t>
      </w:r>
      <w:proofErr w:type="spellEnd"/>
      <w:r>
        <w:t xml:space="preserve"> CuCl</w:t>
      </w:r>
      <w:r>
        <w:rPr>
          <w:vertAlign w:val="subscript"/>
        </w:rPr>
        <w:t>2</w:t>
      </w:r>
      <w:r>
        <w:t xml:space="preserve"> 2 H</w:t>
      </w:r>
      <w:r>
        <w:rPr>
          <w:vertAlign w:val="subscript"/>
        </w:rPr>
        <w:t>2</w:t>
      </w:r>
      <w:r>
        <w:t>O hergestellt. In das erste Teelicht wird normales Wasser, in das zweite CuSO</w:t>
      </w:r>
      <w:r>
        <w:rPr>
          <w:vertAlign w:val="subscript"/>
        </w:rPr>
        <w:t>4</w:t>
      </w:r>
      <w:r>
        <w:t xml:space="preserve"> 5 H</w:t>
      </w:r>
      <w:r>
        <w:rPr>
          <w:vertAlign w:val="subscript"/>
        </w:rPr>
        <w:t>2</w:t>
      </w:r>
      <w:r>
        <w:t>O-Lösung und in das dritte ebenfalls CuSO</w:t>
      </w:r>
      <w:r>
        <w:rPr>
          <w:vertAlign w:val="subscript"/>
        </w:rPr>
        <w:t>4</w:t>
      </w:r>
      <w:r>
        <w:t xml:space="preserve"> 5 H</w:t>
      </w:r>
      <w:r>
        <w:rPr>
          <w:vertAlign w:val="subscript"/>
        </w:rPr>
        <w:t>2</w:t>
      </w:r>
      <w:r>
        <w:t>O, welches mit NaCl-Lösung versetzt wird. In die beiden letzten Aluminiumschalen befinden sich eine CuCl</w:t>
      </w:r>
      <w:r>
        <w:rPr>
          <w:vertAlign w:val="subscript"/>
        </w:rPr>
        <w:t>2</w:t>
      </w:r>
      <w:r>
        <w:t>- und eine mit NaCl versetzte CuCl</w:t>
      </w:r>
      <w:r>
        <w:rPr>
          <w:vertAlign w:val="subscript"/>
        </w:rPr>
        <w:t>2</w:t>
      </w:r>
      <w:r>
        <w:t xml:space="preserve">-Lösung. </w:t>
      </w:r>
    </w:p>
    <w:p w:rsidR="00DE4191" w:rsidRPr="00B47957" w:rsidRDefault="00DE4191" w:rsidP="00DE4191">
      <w:pPr>
        <w:spacing w:after="0"/>
        <w:ind w:left="1979" w:hanging="1979"/>
        <w:rPr>
          <w:rFonts w:eastAsia="Times New Roman" w:cs="Arial"/>
          <w:lang w:eastAsia="de-DE"/>
        </w:rPr>
      </w:pPr>
    </w:p>
    <w:p w:rsidR="00DE4191" w:rsidRDefault="00DE4191" w:rsidP="00DE4191">
      <w:pPr>
        <w:tabs>
          <w:tab w:val="left" w:pos="1701"/>
          <w:tab w:val="left" w:pos="1985"/>
        </w:tabs>
        <w:ind w:left="1980" w:hanging="1980"/>
      </w:pPr>
      <w:r>
        <w:t>Beobachtung:</w:t>
      </w:r>
      <w:r>
        <w:tab/>
      </w:r>
      <w:r>
        <w:tab/>
        <w:t>In den ersten beiden Teelichterschalen ist keine Veränderung erkennbar. In den Aluminiumschälchen drei bis fünf setzt kurz nach Beginn des Versuches eine Gasentwicklung ein. Bereits nach 15 Minuten ist ein bräunlicher Feststoff zu erkennen. Nach einer Stunde ist das Aluminiumschälchen so instabil, dass etwas von den Lösungen auf das Blatt Papier läuft. Mittlerweile haben sich bei der Schale, die nur CuCl</w:t>
      </w:r>
      <w:r>
        <w:rPr>
          <w:vertAlign w:val="subscript"/>
        </w:rPr>
        <w:t>2</w:t>
      </w:r>
      <w:r>
        <w:t xml:space="preserve">-Lösung enthält, große braune </w:t>
      </w:r>
      <w:r>
        <w:lastRenderedPageBreak/>
        <w:t>Feststoffstücke am Boden abgesetzt. In der Schale drei und fünf sind diese Feststoffreste feiner.</w:t>
      </w:r>
    </w:p>
    <w:p w:rsidR="00DE4191" w:rsidRDefault="00DE4191" w:rsidP="00DE4191">
      <w:pPr>
        <w:tabs>
          <w:tab w:val="left" w:pos="1701"/>
          <w:tab w:val="left" w:pos="1985"/>
        </w:tabs>
        <w:ind w:left="1980" w:hanging="1980"/>
        <w:jc w:val="center"/>
      </w:pPr>
      <w:r>
        <w:rPr>
          <w:noProof/>
          <w:lang w:eastAsia="de-DE"/>
        </w:rPr>
        <w:drawing>
          <wp:inline distT="0" distB="0" distL="0" distR="0" wp14:anchorId="5BED25E1" wp14:editId="33D30BA5">
            <wp:extent cx="5095875" cy="2027790"/>
            <wp:effectExtent l="0" t="0" r="0" b="0"/>
            <wp:docPr id="80" name="Grafik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20160802_105812.jpg"/>
                    <pic:cNvPicPr/>
                  </pic:nvPicPr>
                  <pic:blipFill>
                    <a:blip r:embed="rId14" cstate="email">
                      <a:extLst>
                        <a:ext uri="{28A0092B-C50C-407E-A947-70E740481C1C}">
                          <a14:useLocalDpi xmlns:a14="http://schemas.microsoft.com/office/drawing/2010/main"/>
                        </a:ext>
                      </a:extLst>
                    </a:blip>
                    <a:stretch>
                      <a:fillRect/>
                    </a:stretch>
                  </pic:blipFill>
                  <pic:spPr>
                    <a:xfrm>
                      <a:off x="0" y="0"/>
                      <a:ext cx="5109183" cy="2033086"/>
                    </a:xfrm>
                    <a:prstGeom prst="rect">
                      <a:avLst/>
                    </a:prstGeom>
                  </pic:spPr>
                </pic:pic>
              </a:graphicData>
            </a:graphic>
          </wp:inline>
        </w:drawing>
      </w:r>
    </w:p>
    <w:p w:rsidR="00DE4191" w:rsidRDefault="00DE4191" w:rsidP="00DE4191">
      <w:pPr>
        <w:tabs>
          <w:tab w:val="left" w:pos="1701"/>
          <w:tab w:val="left" w:pos="1985"/>
        </w:tabs>
        <w:ind w:left="1980" w:hanging="1980"/>
        <w:jc w:val="center"/>
      </w:pPr>
      <w:r>
        <w:rPr>
          <w:noProof/>
          <w:lang w:eastAsia="de-DE"/>
        </w:rPr>
        <w:drawing>
          <wp:inline distT="0" distB="0" distL="0" distR="0" wp14:anchorId="427289CA" wp14:editId="3F1CE3D9">
            <wp:extent cx="5467350" cy="1554265"/>
            <wp:effectExtent l="0" t="0" r="0" b="8255"/>
            <wp:docPr id="81" name="Grafik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20160802_110550.jpg"/>
                    <pic:cNvPicPr/>
                  </pic:nvPicPr>
                  <pic:blipFill>
                    <a:blip r:embed="rId15" cstate="email">
                      <a:extLst>
                        <a:ext uri="{28A0092B-C50C-407E-A947-70E740481C1C}">
                          <a14:useLocalDpi xmlns:a14="http://schemas.microsoft.com/office/drawing/2010/main"/>
                        </a:ext>
                      </a:extLst>
                    </a:blip>
                    <a:stretch>
                      <a:fillRect/>
                    </a:stretch>
                  </pic:blipFill>
                  <pic:spPr>
                    <a:xfrm>
                      <a:off x="0" y="0"/>
                      <a:ext cx="5472132" cy="1555624"/>
                    </a:xfrm>
                    <a:prstGeom prst="rect">
                      <a:avLst/>
                    </a:prstGeom>
                  </pic:spPr>
                </pic:pic>
              </a:graphicData>
            </a:graphic>
          </wp:inline>
        </w:drawing>
      </w:r>
    </w:p>
    <w:p w:rsidR="00DE4191" w:rsidRPr="00836E8B" w:rsidRDefault="00DE4191" w:rsidP="00DE4191">
      <w:pPr>
        <w:tabs>
          <w:tab w:val="left" w:pos="1701"/>
          <w:tab w:val="left" w:pos="1985"/>
        </w:tabs>
        <w:ind w:left="1980" w:hanging="1980"/>
        <w:jc w:val="center"/>
      </w:pPr>
      <w:r>
        <w:rPr>
          <w:noProof/>
          <w:lang w:eastAsia="de-DE"/>
        </w:rPr>
        <w:drawing>
          <wp:inline distT="0" distB="0" distL="0" distR="0" wp14:anchorId="525DD106" wp14:editId="7428C12C">
            <wp:extent cx="5524500" cy="1448720"/>
            <wp:effectExtent l="0" t="0" r="0" b="0"/>
            <wp:docPr id="82" name="Grafik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20160802_131321.jpg"/>
                    <pic:cNvPicPr/>
                  </pic:nvPicPr>
                  <pic:blipFill>
                    <a:blip r:embed="rId16" cstate="email">
                      <a:extLst>
                        <a:ext uri="{28A0092B-C50C-407E-A947-70E740481C1C}">
                          <a14:useLocalDpi xmlns:a14="http://schemas.microsoft.com/office/drawing/2010/main"/>
                        </a:ext>
                      </a:extLst>
                    </a:blip>
                    <a:stretch>
                      <a:fillRect/>
                    </a:stretch>
                  </pic:blipFill>
                  <pic:spPr>
                    <a:xfrm>
                      <a:off x="0" y="0"/>
                      <a:ext cx="5539768" cy="1452724"/>
                    </a:xfrm>
                    <a:prstGeom prst="rect">
                      <a:avLst/>
                    </a:prstGeom>
                  </pic:spPr>
                </pic:pic>
              </a:graphicData>
            </a:graphic>
          </wp:inline>
        </w:drawing>
      </w:r>
    </w:p>
    <w:p w:rsidR="00DE4191" w:rsidRDefault="00DE4191" w:rsidP="00DE4191">
      <w:pPr>
        <w:tabs>
          <w:tab w:val="left" w:pos="1701"/>
          <w:tab w:val="left" w:pos="1985"/>
        </w:tabs>
        <w:ind w:left="1980" w:hanging="1980"/>
        <w:jc w:val="center"/>
        <w:rPr>
          <w:sz w:val="20"/>
          <w:szCs w:val="20"/>
        </w:rPr>
      </w:pPr>
      <w:r w:rsidRPr="00930365">
        <w:rPr>
          <w:sz w:val="20"/>
          <w:szCs w:val="20"/>
        </w:rPr>
        <w:t xml:space="preserve">Abb. </w:t>
      </w:r>
      <w:r>
        <w:rPr>
          <w:sz w:val="20"/>
          <w:szCs w:val="20"/>
        </w:rPr>
        <w:t>5</w:t>
      </w:r>
      <w:r w:rsidRPr="00930365">
        <w:rPr>
          <w:sz w:val="20"/>
          <w:szCs w:val="20"/>
        </w:rPr>
        <w:t xml:space="preserve"> – </w:t>
      </w:r>
      <w:r>
        <w:rPr>
          <w:sz w:val="20"/>
          <w:szCs w:val="20"/>
        </w:rPr>
        <w:t>Teelichtbehälter mit Salzlösungen nach 0 Min. (oben), nach 15 Min. (Mitte) und nach einer Stunde(unten).</w:t>
      </w:r>
    </w:p>
    <w:p w:rsidR="00DE4191" w:rsidRDefault="00DE4191" w:rsidP="00DE4191">
      <w:pPr>
        <w:tabs>
          <w:tab w:val="left" w:pos="1701"/>
          <w:tab w:val="left" w:pos="1985"/>
        </w:tabs>
        <w:ind w:left="1980" w:hanging="1980"/>
        <w:jc w:val="center"/>
        <w:rPr>
          <w:sz w:val="20"/>
          <w:szCs w:val="20"/>
        </w:rPr>
      </w:pPr>
    </w:p>
    <w:p w:rsidR="00DE4191" w:rsidRPr="00930365" w:rsidRDefault="00DE4191" w:rsidP="00DE4191">
      <w:pPr>
        <w:tabs>
          <w:tab w:val="left" w:pos="1701"/>
          <w:tab w:val="left" w:pos="1985"/>
        </w:tabs>
        <w:ind w:left="1980" w:hanging="1980"/>
        <w:jc w:val="center"/>
        <w:rPr>
          <w:sz w:val="20"/>
          <w:szCs w:val="20"/>
        </w:rPr>
      </w:pPr>
    </w:p>
    <w:p w:rsidR="00DE4191" w:rsidRDefault="00DE4191" w:rsidP="00DE4191">
      <w:pPr>
        <w:tabs>
          <w:tab w:val="left" w:pos="1701"/>
          <w:tab w:val="left" w:pos="1985"/>
        </w:tabs>
        <w:ind w:left="2124" w:hanging="2124"/>
        <w:rPr>
          <w:color w:val="auto"/>
        </w:rPr>
      </w:pPr>
      <w:r>
        <w:t>Deutung:</w:t>
      </w:r>
      <w:r>
        <w:tab/>
      </w:r>
      <w:r>
        <w:tab/>
      </w:r>
      <w:r>
        <w:tab/>
      </w:r>
      <w:r>
        <w:rPr>
          <w:color w:val="auto"/>
        </w:rPr>
        <w:t xml:space="preserve">Das Aluminium der Teelichtbehälter ist mit einer Passivierungsschicht aus Aluminiumoxid umgeben, weshalb zunächst keine Reaktion stattfindet. Durch Zugabe von </w:t>
      </w:r>
      <w:proofErr w:type="spellStart"/>
      <w:r>
        <w:rPr>
          <w:color w:val="auto"/>
        </w:rPr>
        <w:t>Chloridionen</w:t>
      </w:r>
      <w:proofErr w:type="spellEnd"/>
      <w:r>
        <w:rPr>
          <w:color w:val="auto"/>
        </w:rPr>
        <w:t xml:space="preserve">, die hierbei als Katalysator agieren, beschleunigt sich die Reaktion zwischen </w:t>
      </w:r>
      <w:proofErr w:type="spellStart"/>
      <w:r>
        <w:rPr>
          <w:color w:val="auto"/>
        </w:rPr>
        <w:t>Kupferionen</w:t>
      </w:r>
      <w:proofErr w:type="spellEnd"/>
      <w:r>
        <w:rPr>
          <w:color w:val="auto"/>
        </w:rPr>
        <w:t xml:space="preserve"> und Aluminium. Die </w:t>
      </w:r>
      <w:proofErr w:type="spellStart"/>
      <w:r>
        <w:rPr>
          <w:color w:val="auto"/>
        </w:rPr>
        <w:t>Chloridionen</w:t>
      </w:r>
      <w:proofErr w:type="spellEnd"/>
      <w:r>
        <w:rPr>
          <w:color w:val="auto"/>
        </w:rPr>
        <w:t xml:space="preserve"> katalysieren die Kupferabscheidung aus einer Kupfersalz-Lösung auf das Aluminium. Die </w:t>
      </w:r>
      <w:proofErr w:type="spellStart"/>
      <w:r>
        <w:rPr>
          <w:color w:val="auto"/>
        </w:rPr>
        <w:t>Chloridionen</w:t>
      </w:r>
      <w:proofErr w:type="spellEnd"/>
      <w:r>
        <w:rPr>
          <w:color w:val="auto"/>
        </w:rPr>
        <w:t xml:space="preserve"> diffundieren durch das </w:t>
      </w:r>
      <w:r>
        <w:rPr>
          <w:color w:val="auto"/>
        </w:rPr>
        <w:lastRenderedPageBreak/>
        <w:t>Kristallgitter des Aluminiumoxids, woraufhin die folgende Redoxreaktion abläuft:</w:t>
      </w:r>
    </w:p>
    <w:p w:rsidR="00DE4191" w:rsidRPr="001F3492" w:rsidRDefault="00DE4191" w:rsidP="00DE4191">
      <w:pPr>
        <w:tabs>
          <w:tab w:val="left" w:pos="1701"/>
          <w:tab w:val="left" w:pos="1985"/>
        </w:tabs>
        <w:ind w:left="2124" w:hanging="2124"/>
        <w:rPr>
          <w:rFonts w:eastAsiaTheme="minorEastAsia"/>
        </w:rPr>
      </w:pPr>
      <m:oMathPara>
        <m:oMath>
          <m:r>
            <w:rPr>
              <w:rFonts w:ascii="Cambria Math" w:eastAsiaTheme="minorEastAsia" w:hAnsi="Cambria Math"/>
            </w:rPr>
            <m:t>3C</m:t>
          </m:r>
          <m:sSup>
            <m:sSupPr>
              <m:ctrlPr>
                <w:rPr>
                  <w:rFonts w:ascii="Cambria Math" w:eastAsiaTheme="minorEastAsia" w:hAnsi="Cambria Math"/>
                  <w:i/>
                </w:rPr>
              </m:ctrlPr>
            </m:sSupPr>
            <m:e>
              <m:r>
                <w:rPr>
                  <w:rFonts w:ascii="Cambria Math" w:eastAsiaTheme="minorEastAsia" w:hAnsi="Cambria Math"/>
                </w:rPr>
                <m:t>u</m:t>
              </m:r>
            </m:e>
            <m:sup>
              <m:r>
                <w:rPr>
                  <w:rFonts w:ascii="Cambria Math" w:eastAsiaTheme="minorEastAsia" w:hAnsi="Cambria Math"/>
                </w:rPr>
                <m:t>2+</m:t>
              </m:r>
            </m:sup>
          </m:sSup>
          <m:r>
            <w:rPr>
              <w:rFonts w:ascii="Cambria Math" w:eastAsiaTheme="minorEastAsia" w:hAnsi="Cambria Math"/>
            </w:rPr>
            <m:t>(aq)+</m:t>
          </m:r>
          <m:sSup>
            <m:sSupPr>
              <m:ctrlPr>
                <w:rPr>
                  <w:rFonts w:ascii="Cambria Math" w:eastAsiaTheme="minorEastAsia" w:hAnsi="Cambria Math"/>
                  <w:i/>
                </w:rPr>
              </m:ctrlPr>
            </m:sSupPr>
            <m:e>
              <m:r>
                <w:rPr>
                  <w:rFonts w:ascii="Cambria Math" w:eastAsiaTheme="minorEastAsia" w:hAnsi="Cambria Math"/>
                </w:rPr>
                <m:t>2Al(s)+Cl</m:t>
              </m:r>
            </m:e>
            <m:sup>
              <m:r>
                <w:rPr>
                  <w:rFonts w:ascii="Cambria Math" w:eastAsiaTheme="minorEastAsia" w:hAnsi="Cambria Math"/>
                </w:rPr>
                <m:t>-</m:t>
              </m:r>
            </m:sup>
          </m:sSup>
          <m:r>
            <w:rPr>
              <w:rFonts w:ascii="Cambria Math" w:eastAsiaTheme="minorEastAsia" w:hAnsi="Cambria Math"/>
            </w:rPr>
            <m:t>(aq)⇋</m:t>
          </m:r>
          <m:sSup>
            <m:sSupPr>
              <m:ctrlPr>
                <w:rPr>
                  <w:rFonts w:ascii="Cambria Math" w:eastAsiaTheme="minorEastAsia" w:hAnsi="Cambria Math"/>
                  <w:i/>
                </w:rPr>
              </m:ctrlPr>
            </m:sSupPr>
            <m:e>
              <m:r>
                <w:rPr>
                  <w:rFonts w:ascii="Cambria Math" w:eastAsiaTheme="minorEastAsia" w:hAnsi="Cambria Math"/>
                </w:rPr>
                <m:t>2Cu(s)+2Al</m:t>
              </m:r>
            </m:e>
            <m:sup>
              <m:r>
                <w:rPr>
                  <w:rFonts w:ascii="Cambria Math" w:eastAsiaTheme="minorEastAsia" w:hAnsi="Cambria Math"/>
                </w:rPr>
                <m:t>3+</m:t>
              </m:r>
            </m:sup>
          </m:sSup>
          <m:r>
            <w:rPr>
              <w:rFonts w:ascii="Cambria Math" w:eastAsiaTheme="minorEastAsia" w:hAnsi="Cambria Math"/>
            </w:rPr>
            <m:t>(aq)+</m:t>
          </m:r>
          <m:sSup>
            <m:sSupPr>
              <m:ctrlPr>
                <w:rPr>
                  <w:rFonts w:ascii="Cambria Math" w:eastAsiaTheme="minorEastAsia" w:hAnsi="Cambria Math"/>
                  <w:i/>
                </w:rPr>
              </m:ctrlPr>
            </m:sSupPr>
            <m:e>
              <m:r>
                <w:rPr>
                  <w:rFonts w:ascii="Cambria Math" w:eastAsiaTheme="minorEastAsia" w:hAnsi="Cambria Math"/>
                </w:rPr>
                <m:t>Cl</m:t>
              </m:r>
            </m:e>
            <m:sup>
              <m:r>
                <w:rPr>
                  <w:rFonts w:ascii="Cambria Math" w:eastAsiaTheme="minorEastAsia" w:hAnsi="Cambria Math"/>
                </w:rPr>
                <m:t>-</m:t>
              </m:r>
            </m:sup>
          </m:sSup>
          <m:r>
            <w:rPr>
              <w:rFonts w:ascii="Cambria Math" w:eastAsiaTheme="minorEastAsia" w:hAnsi="Cambria Math"/>
            </w:rPr>
            <m:t>(aq)</m:t>
          </m:r>
        </m:oMath>
      </m:oMathPara>
    </w:p>
    <w:p w:rsidR="00DE4191" w:rsidRPr="001F3492" w:rsidRDefault="00DE4191" w:rsidP="00DE4191">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Der Katalysator beschleunigt somit die Reaktion, ohne dabei selbst verbraucht zu werden. Dass es sich bei dem Katalysator um die </w:t>
      </w:r>
      <w:proofErr w:type="spellStart"/>
      <w:r>
        <w:rPr>
          <w:rFonts w:eastAsiaTheme="minorEastAsia"/>
        </w:rPr>
        <w:t>Chloridionen</w:t>
      </w:r>
      <w:proofErr w:type="spellEnd"/>
      <w:r>
        <w:rPr>
          <w:rFonts w:eastAsiaTheme="minorEastAsia"/>
        </w:rPr>
        <w:t xml:space="preserve"> handelt, verdeutlicht die Vergleichslösung CuSO</w:t>
      </w:r>
      <w:r>
        <w:rPr>
          <w:rFonts w:eastAsiaTheme="minorEastAsia"/>
          <w:vertAlign w:val="subscript"/>
        </w:rPr>
        <w:t>4</w:t>
      </w:r>
      <w:r>
        <w:rPr>
          <w:rFonts w:eastAsiaTheme="minorEastAsia"/>
        </w:rPr>
        <w:t xml:space="preserve">. Bei dieser findet durch Abwesenheit der </w:t>
      </w:r>
      <w:proofErr w:type="spellStart"/>
      <w:r>
        <w:rPr>
          <w:rFonts w:eastAsiaTheme="minorEastAsia"/>
        </w:rPr>
        <w:t>Chloridionen</w:t>
      </w:r>
      <w:proofErr w:type="spellEnd"/>
      <w:r>
        <w:rPr>
          <w:rFonts w:eastAsiaTheme="minorEastAsia"/>
        </w:rPr>
        <w:t xml:space="preserve"> erst nach einigen Stunden eine langsame Ausfällung des Kupfers statt. Nach fünf Stunden waren kleine, elementare Kupferstücke am Behälterboden zu erkennen.</w:t>
      </w:r>
    </w:p>
    <w:p w:rsidR="00DE4191" w:rsidRDefault="00DE4191" w:rsidP="00DE4191">
      <w:pPr>
        <w:spacing w:line="276" w:lineRule="auto"/>
        <w:jc w:val="left"/>
      </w:pPr>
      <w:r>
        <w:t>Entsorgung:</w:t>
      </w:r>
      <w:r>
        <w:tab/>
        <w:t xml:space="preserve">           </w:t>
      </w:r>
      <w:r>
        <w:tab/>
        <w:t>Die Lösungen werden in den Schwermetallabfall gegeben.</w:t>
      </w:r>
    </w:p>
    <w:p w:rsidR="00DE4191" w:rsidRPr="00CB2DAD" w:rsidRDefault="00DE4191" w:rsidP="00DE4191">
      <w:pPr>
        <w:spacing w:line="276" w:lineRule="auto"/>
        <w:ind w:left="2130" w:hanging="2130"/>
        <w:jc w:val="left"/>
        <w:rPr>
          <w:color w:val="auto"/>
        </w:rPr>
      </w:pPr>
      <w:r>
        <w:t>Literatur:</w:t>
      </w:r>
      <w:r>
        <w:tab/>
        <w:t>[5</w:t>
      </w:r>
      <w:r>
        <w:rPr>
          <w:color w:val="auto"/>
        </w:rPr>
        <w:t>] R. Blume</w:t>
      </w:r>
      <w:r w:rsidRPr="00981B06">
        <w:rPr>
          <w:color w:val="auto"/>
        </w:rPr>
        <w:t xml:space="preserve">, </w:t>
      </w:r>
      <w:hyperlink r:id="rId17" w:history="1">
        <w:r w:rsidRPr="00981B06">
          <w:rPr>
            <w:rStyle w:val="Hyperlink"/>
            <w:color w:val="auto"/>
          </w:rPr>
          <w:t>http://www.chemieunterricht.de/dc2/katalyse/vkat-053.htm</w:t>
        </w:r>
      </w:hyperlink>
      <w:r>
        <w:rPr>
          <w:color w:val="auto"/>
        </w:rPr>
        <w:t>, 04.01.2005 (zuletzt aufgerufen am 02.08.2016)</w:t>
      </w:r>
    </w:p>
    <w:p w:rsidR="00DE4191" w:rsidRDefault="00DE4191" w:rsidP="00DE4191">
      <w:pPr>
        <w:spacing w:line="276" w:lineRule="auto"/>
        <w:jc w:val="left"/>
        <w:rPr>
          <w:color w:val="auto"/>
        </w:rPr>
      </w:pPr>
    </w:p>
    <w:p w:rsidR="00DE4191" w:rsidRDefault="00DE4191" w:rsidP="00DE4191">
      <w:pPr>
        <w:spacing w:line="276" w:lineRule="auto"/>
        <w:jc w:val="left"/>
        <w:rPr>
          <w:color w:val="auto"/>
        </w:rPr>
      </w:pPr>
      <w:r>
        <w:rPr>
          <w:noProof/>
          <w:lang w:eastAsia="de-DE"/>
        </w:rPr>
        <mc:AlternateContent>
          <mc:Choice Requires="wps">
            <w:drawing>
              <wp:inline distT="0" distB="0" distL="0" distR="0" wp14:anchorId="5A87A7B3" wp14:editId="21395B77">
                <wp:extent cx="5760720" cy="1133475"/>
                <wp:effectExtent l="0" t="0" r="11430" b="28575"/>
                <wp:docPr id="42"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133475"/>
                        </a:xfrm>
                        <a:prstGeom prst="rect">
                          <a:avLst/>
                        </a:prstGeom>
                        <a:solidFill>
                          <a:schemeClr val="lt1">
                            <a:lumMod val="100000"/>
                            <a:lumOff val="0"/>
                          </a:schemeClr>
                        </a:solidFill>
                        <a:ln w="12700">
                          <a:solidFill>
                            <a:schemeClr val="accent2">
                              <a:lumMod val="100000"/>
                              <a:lumOff val="0"/>
                            </a:schemeClr>
                          </a:solidFill>
                          <a:prstDash val="dash"/>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DE4191" w:rsidRPr="0078683F" w:rsidRDefault="00DE4191" w:rsidP="00DE4191">
                            <w:pPr>
                              <w:rPr>
                                <w:color w:val="auto"/>
                              </w:rPr>
                            </w:pPr>
                            <w:r>
                              <w:rPr>
                                <w:b/>
                                <w:color w:val="auto"/>
                              </w:rPr>
                              <w:t xml:space="preserve">Unterrichtsanschlüsse: </w:t>
                            </w:r>
                            <w:r>
                              <w:rPr>
                                <w:color w:val="auto"/>
                              </w:rPr>
                              <w:t>Der Versuch sollte an die elektrochemische Spannungsreihe anschließen bzw. diese sollte bereits bekannt sein. Im Anschluss an diesen Versuch können die SuS weitere, ungeladene Katalysatoren kennenlernen, damit der Entstehung der Fehlvorstellung, dass Katalysatoren nur geladene Ionen sein können, vorgebeugt wird.</w:t>
                            </w:r>
                          </w:p>
                        </w:txbxContent>
                      </wps:txbx>
                      <wps:bodyPr rot="0" vert="horz" wrap="square" lIns="91440" tIns="45720" rIns="91440" bIns="45720" anchor="t" anchorCtr="0" upright="1">
                        <a:noAutofit/>
                      </wps:bodyPr>
                    </wps:wsp>
                  </a:graphicData>
                </a:graphic>
              </wp:inline>
            </w:drawing>
          </mc:Choice>
          <mc:Fallback>
            <w:pict>
              <v:shapetype w14:anchorId="5A87A7B3" id="_x0000_t202" coordsize="21600,21600" o:spt="202" path="m,l,21600r21600,l21600,xe">
                <v:stroke joinstyle="miter"/>
                <v:path gradientshapeok="t" o:connecttype="rect"/>
              </v:shapetype>
              <v:shape id="Text Box 131" o:spid="_x0000_s1026" type="#_x0000_t202" style="width:453.6pt;height:8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" fillcolor="white [3201]" strokecolor="#ed7d31 [3205]" strokeweight="1pt">
                <v:stroke dashstyle="dash"/>
                <v:shadow color="#868686"/>
                <v:textbox>
                  <w:txbxContent>
                    <w:p w:rsidR="00DE4191" w:rsidRPr="0078683F" w:rsidRDefault="00DE4191" w:rsidP="00DE4191">
                      <w:pPr>
                        <w:rPr>
                          <w:color w:val="auto"/>
                        </w:rPr>
                      </w:pPr>
                      <w:r>
                        <w:rPr>
                          <w:b/>
                          <w:color w:val="auto"/>
                        </w:rPr>
                        <w:t xml:space="preserve">Unterrichtsanschlüsse: </w:t>
                      </w:r>
                      <w:r>
                        <w:rPr>
                          <w:color w:val="auto"/>
                        </w:rPr>
                        <w:t>Der Versuch sollte an die elektrochemische Spannungsreihe anschließen bzw. diese sollte bereits bekannt sein. Im Anschluss an diesen Versuch können die SuS weitere, ungeladene Katalysatoren kennenlernen, damit der Entstehung der Fehlvorstellung, dass Katalysatoren nur geladene Ionen sein können, vorgebeugt wird.</w:t>
                      </w:r>
                    </w:p>
                  </w:txbxContent>
                </v:textbox>
                <w10:anchorlock/>
              </v:shape>
            </w:pict>
          </mc:Fallback>
        </mc:AlternateContent>
      </w:r>
    </w:p>
    <w:p w:rsidR="00DE4191" w:rsidRDefault="00DE4191" w:rsidP="00DE4191">
      <w:pPr>
        <w:tabs>
          <w:tab w:val="left" w:pos="1701"/>
          <w:tab w:val="left" w:pos="1985"/>
        </w:tabs>
        <w:ind w:left="1980" w:hanging="1980"/>
        <w:rPr>
          <w:color w:val="auto"/>
        </w:rPr>
      </w:pPr>
    </w:p>
    <w:p w:rsidR="00EB619B" w:rsidRDefault="00DE4191"/>
    <w:sectPr w:rsidR="00EB619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422180"/>
    <w:multiLevelType w:val="multilevel"/>
    <w:tmpl w:val="CA18A6E2"/>
    <w:lvl w:ilvl="0">
      <w:start w:val="1"/>
      <w:numFmt w:val="decimal"/>
      <w:pStyle w:val="berschrift1"/>
      <w:lvlText w:val="%1"/>
      <w:lvlJc w:val="left"/>
      <w:pPr>
        <w:ind w:left="857"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191"/>
    <w:rsid w:val="000C761C"/>
    <w:rsid w:val="00125E17"/>
    <w:rsid w:val="00176474"/>
    <w:rsid w:val="0034208B"/>
    <w:rsid w:val="003E3AD9"/>
    <w:rsid w:val="00641C7C"/>
    <w:rsid w:val="006B6773"/>
    <w:rsid w:val="006E23EA"/>
    <w:rsid w:val="007633FF"/>
    <w:rsid w:val="00855922"/>
    <w:rsid w:val="00990B4C"/>
    <w:rsid w:val="00A22302"/>
    <w:rsid w:val="00BF1E02"/>
    <w:rsid w:val="00DE41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9A22C"/>
  <w15:chartTrackingRefBased/>
  <w15:docId w15:val="{1D3730C0-AA4F-4E88-905D-1EC35059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rd">
    <w:name w:val="Normal"/>
    <w:qFormat/>
    <w:rsid w:val="00DE4191"/>
    <w:pPr>
      <w:spacing w:after="200" w:line="360" w:lineRule="auto"/>
      <w:jc w:val="both"/>
    </w:pPr>
    <w:rPr>
      <w:rFonts w:ascii="Cambria" w:hAnsi="Cambria"/>
      <w:color w:val="171717" w:themeColor="background2" w:themeShade="1A"/>
    </w:rPr>
  </w:style>
  <w:style w:type="paragraph" w:styleId="berschrift1">
    <w:name w:val="heading 1"/>
    <w:basedOn w:val="Standard"/>
    <w:next w:val="Standard"/>
    <w:link w:val="berschrift1Zchn"/>
    <w:uiPriority w:val="9"/>
    <w:qFormat/>
    <w:rsid w:val="00DE4191"/>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DE4191"/>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DE4191"/>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DE4191"/>
    <w:pPr>
      <w:keepNext/>
      <w:keepLines/>
      <w:numPr>
        <w:ilvl w:val="3"/>
        <w:numId w:val="1"/>
      </w:numPr>
      <w:spacing w:before="200" w:after="0"/>
      <w:outlineLvl w:val="3"/>
    </w:pPr>
    <w:rPr>
      <w:rFonts w:asciiTheme="majorHAnsi" w:eastAsiaTheme="majorEastAsia" w:hAnsiTheme="majorHAnsi" w:cstheme="majorBidi"/>
      <w:b/>
      <w:bCs/>
      <w:i/>
      <w:iCs/>
      <w:color w:val="5B9BD5" w:themeColor="accent1"/>
    </w:rPr>
  </w:style>
  <w:style w:type="paragraph" w:styleId="berschrift5">
    <w:name w:val="heading 5"/>
    <w:basedOn w:val="Standard"/>
    <w:next w:val="Standard"/>
    <w:link w:val="berschrift5Zchn"/>
    <w:uiPriority w:val="9"/>
    <w:semiHidden/>
    <w:unhideWhenUsed/>
    <w:qFormat/>
    <w:rsid w:val="00DE4191"/>
    <w:pPr>
      <w:keepNext/>
      <w:keepLines/>
      <w:numPr>
        <w:ilvl w:val="4"/>
        <w:numId w:val="1"/>
      </w:numPr>
      <w:spacing w:before="200" w:after="0"/>
      <w:outlineLvl w:val="4"/>
    </w:pPr>
    <w:rPr>
      <w:rFonts w:asciiTheme="majorHAnsi" w:eastAsiaTheme="majorEastAsia" w:hAnsiTheme="majorHAnsi" w:cstheme="majorBidi"/>
      <w:color w:val="1F4D78" w:themeColor="accent1" w:themeShade="7F"/>
    </w:rPr>
  </w:style>
  <w:style w:type="paragraph" w:styleId="berschrift6">
    <w:name w:val="heading 6"/>
    <w:basedOn w:val="Standard"/>
    <w:next w:val="Standard"/>
    <w:link w:val="berschrift6Zchn"/>
    <w:uiPriority w:val="9"/>
    <w:semiHidden/>
    <w:unhideWhenUsed/>
    <w:qFormat/>
    <w:rsid w:val="00DE4191"/>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rPr>
  </w:style>
  <w:style w:type="paragraph" w:styleId="berschrift7">
    <w:name w:val="heading 7"/>
    <w:basedOn w:val="Standard"/>
    <w:next w:val="Standard"/>
    <w:link w:val="berschrift7Zchn"/>
    <w:uiPriority w:val="9"/>
    <w:semiHidden/>
    <w:unhideWhenUsed/>
    <w:qFormat/>
    <w:rsid w:val="00DE419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DE419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DE419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4191"/>
    <w:rPr>
      <w:rFonts w:asciiTheme="majorHAnsi" w:eastAsiaTheme="majorEastAsia" w:hAnsiTheme="majorHAnsi" w:cstheme="majorBidi"/>
      <w:b/>
      <w:bCs/>
      <w:color w:val="171717" w:themeColor="background2" w:themeShade="1A"/>
      <w:sz w:val="28"/>
      <w:szCs w:val="28"/>
    </w:rPr>
  </w:style>
  <w:style w:type="character" w:customStyle="1" w:styleId="berschrift2Zchn">
    <w:name w:val="Überschrift 2 Zchn"/>
    <w:basedOn w:val="Absatz-Standardschriftart"/>
    <w:link w:val="berschrift2"/>
    <w:uiPriority w:val="9"/>
    <w:rsid w:val="00DE4191"/>
    <w:rPr>
      <w:rFonts w:asciiTheme="majorHAnsi" w:eastAsiaTheme="majorEastAsia" w:hAnsiTheme="majorHAnsi" w:cstheme="majorBidi"/>
      <w:b/>
      <w:bCs/>
      <w:color w:val="171717" w:themeColor="background2" w:themeShade="1A"/>
      <w:szCs w:val="26"/>
    </w:rPr>
  </w:style>
  <w:style w:type="character" w:customStyle="1" w:styleId="berschrift3Zchn">
    <w:name w:val="Überschrift 3 Zchn"/>
    <w:basedOn w:val="Absatz-Standardschriftart"/>
    <w:link w:val="berschrift3"/>
    <w:uiPriority w:val="9"/>
    <w:rsid w:val="00DE4191"/>
    <w:rPr>
      <w:rFonts w:asciiTheme="majorHAnsi" w:eastAsiaTheme="majorEastAsia" w:hAnsiTheme="majorHAnsi" w:cstheme="majorBidi"/>
      <w:b/>
      <w:bCs/>
      <w:i/>
      <w:color w:val="171717" w:themeColor="background2" w:themeShade="1A"/>
    </w:rPr>
  </w:style>
  <w:style w:type="character" w:customStyle="1" w:styleId="berschrift4Zchn">
    <w:name w:val="Überschrift 4 Zchn"/>
    <w:basedOn w:val="Absatz-Standardschriftart"/>
    <w:link w:val="berschrift4"/>
    <w:uiPriority w:val="9"/>
    <w:semiHidden/>
    <w:rsid w:val="00DE4191"/>
    <w:rPr>
      <w:rFonts w:asciiTheme="majorHAnsi" w:eastAsiaTheme="majorEastAsia" w:hAnsiTheme="majorHAnsi" w:cstheme="majorBidi"/>
      <w:b/>
      <w:bCs/>
      <w:i/>
      <w:iCs/>
      <w:color w:val="5B9BD5" w:themeColor="accent1"/>
    </w:rPr>
  </w:style>
  <w:style w:type="character" w:customStyle="1" w:styleId="berschrift5Zchn">
    <w:name w:val="Überschrift 5 Zchn"/>
    <w:basedOn w:val="Absatz-Standardschriftart"/>
    <w:link w:val="berschrift5"/>
    <w:uiPriority w:val="9"/>
    <w:semiHidden/>
    <w:rsid w:val="00DE4191"/>
    <w:rPr>
      <w:rFonts w:asciiTheme="majorHAnsi" w:eastAsiaTheme="majorEastAsia" w:hAnsiTheme="majorHAnsi" w:cstheme="majorBidi"/>
      <w:color w:val="1F4D78" w:themeColor="accent1" w:themeShade="7F"/>
    </w:rPr>
  </w:style>
  <w:style w:type="character" w:customStyle="1" w:styleId="berschrift6Zchn">
    <w:name w:val="Überschrift 6 Zchn"/>
    <w:basedOn w:val="Absatz-Standardschriftart"/>
    <w:link w:val="berschrift6"/>
    <w:uiPriority w:val="9"/>
    <w:semiHidden/>
    <w:rsid w:val="00DE4191"/>
    <w:rPr>
      <w:rFonts w:asciiTheme="majorHAnsi" w:eastAsiaTheme="majorEastAsia" w:hAnsiTheme="majorHAnsi" w:cstheme="majorBidi"/>
      <w:i/>
      <w:iCs/>
      <w:color w:val="1F4D78" w:themeColor="accent1" w:themeShade="7F"/>
    </w:rPr>
  </w:style>
  <w:style w:type="character" w:customStyle="1" w:styleId="berschrift7Zchn">
    <w:name w:val="Überschrift 7 Zchn"/>
    <w:basedOn w:val="Absatz-Standardschriftart"/>
    <w:link w:val="berschrift7"/>
    <w:uiPriority w:val="9"/>
    <w:semiHidden/>
    <w:rsid w:val="00DE4191"/>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DE4191"/>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DE4191"/>
    <w:rPr>
      <w:rFonts w:asciiTheme="majorHAnsi" w:eastAsiaTheme="majorEastAsia" w:hAnsiTheme="majorHAnsi" w:cstheme="majorBidi"/>
      <w:i/>
      <w:iCs/>
      <w:color w:val="404040" w:themeColor="text1" w:themeTint="BF"/>
      <w:sz w:val="20"/>
      <w:szCs w:val="20"/>
    </w:rPr>
  </w:style>
  <w:style w:type="character" w:styleId="Hyperlink">
    <w:name w:val="Hyperlink"/>
    <w:basedOn w:val="Absatz-Standardschriftart"/>
    <w:uiPriority w:val="99"/>
    <w:unhideWhenUsed/>
    <w:rsid w:val="00DE41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chemieunterricht.de/dc2/katalyse/vkat-053.htm" TargetMode="External"/><Relationship Id="rId2" Type="http://schemas.openxmlformats.org/officeDocument/2006/relationships/styles" Target="styles.xml"/><Relationship Id="rId16"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424</Words>
  <Characters>2677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Ann-Kathrin Röver</dc:creator>
  <cp:keywords/>
  <dc:description/>
  <cp:lastModifiedBy>Ann-Kathrin Röver</cp:lastModifiedBy>
  <cp:revision>1</cp:revision>
  <dcterms:created xsi:type="dcterms:W3CDTF">2016-08-09T13:45:00Z</dcterms:created>
  <dcterms:modified xsi:type="dcterms:W3CDTF">2016-08-09T13:46:00Z</dcterms:modified>
</cp:coreProperties>
</file>