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4FF" w:rsidRDefault="000544FF" w:rsidP="000544FF">
      <w:pPr>
        <w:pStyle w:val="berschrift2"/>
      </w:pPr>
      <w:r>
        <w:rPr>
          <w:noProof/>
          <w:lang w:eastAsia="de-DE"/>
        </w:rPr>
        <w:pict>
          <v:shapetype id="_x0000_t202" coordsize="21600,21600" o:spt="202" path="m,l,21600r21600,l21600,xe">
            <v:stroke joinstyle="miter"/>
            <v:path gradientshapeok="t" o:connecttype="rect"/>
          </v:shapetype>
          <v:shape id="_x0000_s1027" type="#_x0000_t202" style="position:absolute;left:0;text-align:left;margin-left:-10.05pt;margin-top:50.65pt;width:462.45pt;height:44.7pt;z-index:251660288;mso-width-relative:margin;mso-height-relative:margin" fillcolor="white [3201]" strokecolor="#4bacc6 [3208]" strokeweight="1pt">
            <v:stroke dashstyle="dash"/>
            <v:shadow color="#868686"/>
            <v:textbox style="mso-next-textbox:#_x0000_s1027">
              <w:txbxContent>
                <w:p w:rsidR="000544FF" w:rsidRPr="00F31EBF" w:rsidRDefault="000544FF" w:rsidP="000544FF">
                  <w:pPr>
                    <w:rPr>
                      <w:color w:val="auto"/>
                    </w:rPr>
                  </w:pPr>
                  <w:r>
                    <w:rPr>
                      <w:color w:val="auto"/>
                    </w:rPr>
                    <w:t xml:space="preserve">Dieser Versuch vergleicht die Säurestärken unterschiedlicher Carbonsäuren miteinander. Die </w:t>
                  </w:r>
                  <w:proofErr w:type="spellStart"/>
                  <w:r>
                    <w:rPr>
                      <w:color w:val="auto"/>
                    </w:rPr>
                    <w:t>SuS</w:t>
                  </w:r>
                  <w:proofErr w:type="spellEnd"/>
                  <w:r>
                    <w:rPr>
                      <w:color w:val="auto"/>
                    </w:rPr>
                    <w:t xml:space="preserve"> sollten den Begriff der Säurestärke und seine Bedeutung kennen.</w:t>
                  </w:r>
                </w:p>
              </w:txbxContent>
            </v:textbox>
            <w10:wrap type="square"/>
          </v:shape>
        </w:pict>
      </w:r>
      <w:bookmarkStart w:id="0" w:name="_Toc458003201"/>
      <w:r w:rsidRPr="00455208">
        <w:t xml:space="preserve">V1 – </w:t>
      </w:r>
      <w:bookmarkStart w:id="1" w:name="_Toc425776595"/>
      <w:bookmarkStart w:id="2" w:name="_Toc456688591"/>
      <w:bookmarkStart w:id="3" w:name="_Toc456688607"/>
      <w:r>
        <w:t>Säurestärke von Carbonsäuren</w:t>
      </w:r>
      <w:bookmarkEnd w:id="0"/>
      <w:bookmarkEnd w:id="1"/>
      <w:bookmarkEnd w:id="2"/>
      <w:bookmarkEnd w:id="3"/>
    </w:p>
    <w:p w:rsidR="000544FF" w:rsidRPr="00455208" w:rsidRDefault="000544FF" w:rsidP="000544FF"/>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544FF" w:rsidRPr="009C5E28" w:rsidTr="00C11C4C">
        <w:tc>
          <w:tcPr>
            <w:tcW w:w="9322" w:type="dxa"/>
            <w:gridSpan w:val="9"/>
            <w:shd w:val="clear" w:color="auto" w:fill="4F81BD"/>
            <w:vAlign w:val="center"/>
          </w:tcPr>
          <w:p w:rsidR="000544FF" w:rsidRPr="00F31EBF" w:rsidRDefault="000544FF" w:rsidP="00C11C4C">
            <w:pPr>
              <w:spacing w:after="0"/>
              <w:jc w:val="center"/>
              <w:rPr>
                <w:b/>
                <w:bCs/>
                <w:color w:val="FFFFFF" w:themeColor="background1"/>
              </w:rPr>
            </w:pPr>
            <w:r w:rsidRPr="00F31EBF">
              <w:rPr>
                <w:b/>
                <w:bCs/>
                <w:color w:val="FFFFFF" w:themeColor="background1"/>
              </w:rPr>
              <w:t>Gefahrenstoffe</w:t>
            </w:r>
          </w:p>
        </w:tc>
      </w:tr>
      <w:tr w:rsidR="000544FF" w:rsidRPr="009C5E28" w:rsidTr="00C11C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544FF" w:rsidRPr="006B1FC4" w:rsidRDefault="000544FF" w:rsidP="00C11C4C">
            <w:pPr>
              <w:spacing w:after="0" w:line="276" w:lineRule="auto"/>
              <w:jc w:val="center"/>
              <w:rPr>
                <w:bCs/>
              </w:rPr>
            </w:pPr>
            <w:r>
              <w:rPr>
                <w:color w:val="auto"/>
              </w:rPr>
              <w:t>Kaliumpermanganat</w:t>
            </w:r>
          </w:p>
        </w:tc>
        <w:tc>
          <w:tcPr>
            <w:tcW w:w="3177" w:type="dxa"/>
            <w:gridSpan w:val="3"/>
            <w:tcBorders>
              <w:top w:val="single" w:sz="8" w:space="0" w:color="4F81BD"/>
              <w:bottom w:val="single" w:sz="8" w:space="0" w:color="4F81BD"/>
            </w:tcBorders>
            <w:shd w:val="clear" w:color="auto" w:fill="auto"/>
            <w:vAlign w:val="center"/>
          </w:tcPr>
          <w:p w:rsidR="000544FF" w:rsidRPr="006B1FC4" w:rsidRDefault="000544FF" w:rsidP="00C11C4C">
            <w:pPr>
              <w:pStyle w:val="Beschriftung"/>
              <w:spacing w:after="0"/>
              <w:jc w:val="center"/>
              <w:rPr>
                <w:sz w:val="22"/>
                <w:szCs w:val="22"/>
              </w:rPr>
            </w:pPr>
            <w:r w:rsidRPr="006B1FC4">
              <w:rPr>
                <w:sz w:val="22"/>
                <w:szCs w:val="22"/>
              </w:rPr>
              <w:t xml:space="preserve">H: </w:t>
            </w:r>
            <w:r>
              <w:rPr>
                <w:sz w:val="22"/>
                <w:szCs w:val="22"/>
              </w:rPr>
              <w:t>272-302-314-410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544FF" w:rsidRPr="006B1FC4" w:rsidRDefault="000544FF" w:rsidP="00C11C4C">
            <w:pPr>
              <w:pStyle w:val="Beschriftung"/>
              <w:spacing w:after="0"/>
              <w:jc w:val="center"/>
              <w:rPr>
                <w:sz w:val="22"/>
                <w:szCs w:val="22"/>
              </w:rPr>
            </w:pPr>
            <w:r>
              <w:rPr>
                <w:sz w:val="22"/>
                <w:szCs w:val="22"/>
              </w:rPr>
              <w:t>P: 220-273-280-305+351+338-310-501</w:t>
            </w:r>
          </w:p>
        </w:tc>
      </w:tr>
      <w:tr w:rsidR="000544FF" w:rsidRPr="009C5E28" w:rsidTr="00C11C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544FF" w:rsidRPr="00B8258C" w:rsidRDefault="000544FF" w:rsidP="00C11C4C">
            <w:pPr>
              <w:spacing w:after="0" w:line="276" w:lineRule="auto"/>
              <w:jc w:val="center"/>
            </w:pPr>
            <w:proofErr w:type="spellStart"/>
            <w:r w:rsidRPr="00B8258C">
              <w:t>Propionsäure</w:t>
            </w:r>
            <w:proofErr w:type="spellEnd"/>
            <w:r>
              <w:t xml:space="preserve"> (25 %)</w:t>
            </w:r>
          </w:p>
        </w:tc>
        <w:tc>
          <w:tcPr>
            <w:tcW w:w="3177" w:type="dxa"/>
            <w:gridSpan w:val="3"/>
            <w:tcBorders>
              <w:top w:val="single" w:sz="8" w:space="0" w:color="4F81BD"/>
              <w:bottom w:val="single" w:sz="8" w:space="0" w:color="4F81BD"/>
            </w:tcBorders>
            <w:shd w:val="clear" w:color="auto" w:fill="auto"/>
            <w:vAlign w:val="center"/>
          </w:tcPr>
          <w:p w:rsidR="000544FF" w:rsidRPr="00B8258C" w:rsidRDefault="000544FF" w:rsidP="00C11C4C">
            <w:pPr>
              <w:spacing w:after="0"/>
              <w:jc w:val="center"/>
            </w:pPr>
            <w:r>
              <w:t>H: 226-314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544FF" w:rsidRPr="00B8258C" w:rsidRDefault="000544FF" w:rsidP="00C11C4C">
            <w:pPr>
              <w:spacing w:after="0"/>
              <w:jc w:val="center"/>
            </w:pPr>
            <w:r w:rsidRPr="00B8258C">
              <w:t>P: 210-280-301+330+331-305+351+338-</w:t>
            </w:r>
            <w:r>
              <w:t>309</w:t>
            </w:r>
            <w:r w:rsidRPr="00B8258C">
              <w:t>+310</w:t>
            </w:r>
          </w:p>
        </w:tc>
      </w:tr>
      <w:tr w:rsidR="000544FF" w:rsidRPr="009C5E28" w:rsidTr="00C11C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544FF" w:rsidRPr="00B8258C" w:rsidRDefault="000544FF" w:rsidP="00C11C4C">
            <w:pPr>
              <w:spacing w:after="0" w:line="276" w:lineRule="auto"/>
              <w:jc w:val="center"/>
              <w:rPr>
                <w:b/>
                <w:bCs/>
              </w:rPr>
            </w:pPr>
            <w:r w:rsidRPr="00B8258C">
              <w:t>Methansäure</w:t>
            </w:r>
            <w:r>
              <w:t xml:space="preserve"> (25 %)</w:t>
            </w:r>
          </w:p>
        </w:tc>
        <w:tc>
          <w:tcPr>
            <w:tcW w:w="3177" w:type="dxa"/>
            <w:gridSpan w:val="3"/>
            <w:tcBorders>
              <w:top w:val="single" w:sz="8" w:space="0" w:color="4F81BD"/>
              <w:bottom w:val="single" w:sz="8" w:space="0" w:color="4F81BD"/>
            </w:tcBorders>
            <w:shd w:val="clear" w:color="auto" w:fill="auto"/>
            <w:vAlign w:val="center"/>
          </w:tcPr>
          <w:p w:rsidR="000544FF" w:rsidRPr="00B8258C" w:rsidRDefault="000544FF" w:rsidP="00C11C4C">
            <w:pPr>
              <w:spacing w:after="0"/>
              <w:jc w:val="center"/>
            </w:pPr>
            <w:r w:rsidRPr="00B8258C">
              <w:t>H: 226-302-314-331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544FF" w:rsidRPr="00B8258C" w:rsidRDefault="000544FF" w:rsidP="00C11C4C">
            <w:pPr>
              <w:spacing w:after="0"/>
              <w:jc w:val="center"/>
            </w:pPr>
            <w:r w:rsidRPr="00B8258C">
              <w:t>P: 210-280-303+361+353-304+340+310-305+351+338-403+233</w:t>
            </w:r>
          </w:p>
        </w:tc>
      </w:tr>
      <w:tr w:rsidR="000544FF" w:rsidRPr="009C5E28" w:rsidTr="00C11C4C">
        <w:trPr>
          <w:trHeight w:val="434"/>
        </w:trPr>
        <w:tc>
          <w:tcPr>
            <w:tcW w:w="3027" w:type="dxa"/>
            <w:gridSpan w:val="3"/>
            <w:shd w:val="clear" w:color="auto" w:fill="auto"/>
            <w:vAlign w:val="center"/>
          </w:tcPr>
          <w:p w:rsidR="000544FF" w:rsidRPr="00B8258C" w:rsidRDefault="000544FF" w:rsidP="00C11C4C">
            <w:pPr>
              <w:spacing w:after="0" w:line="276" w:lineRule="auto"/>
              <w:jc w:val="center"/>
              <w:rPr>
                <w:bCs/>
              </w:rPr>
            </w:pPr>
            <w:r w:rsidRPr="00B8258C">
              <w:rPr>
                <w:color w:val="auto"/>
              </w:rPr>
              <w:t>Essigsäure</w:t>
            </w:r>
            <w:r>
              <w:rPr>
                <w:color w:val="auto"/>
              </w:rPr>
              <w:t xml:space="preserve"> </w:t>
            </w:r>
            <w:r>
              <w:t>(25 %)</w:t>
            </w:r>
          </w:p>
        </w:tc>
        <w:tc>
          <w:tcPr>
            <w:tcW w:w="3177" w:type="dxa"/>
            <w:gridSpan w:val="3"/>
            <w:shd w:val="clear" w:color="auto" w:fill="auto"/>
            <w:vAlign w:val="center"/>
          </w:tcPr>
          <w:p w:rsidR="000544FF" w:rsidRPr="00B8258C" w:rsidRDefault="000544FF" w:rsidP="00C11C4C">
            <w:pPr>
              <w:pStyle w:val="Beschriftung"/>
              <w:spacing w:after="0"/>
              <w:jc w:val="center"/>
              <w:rPr>
                <w:sz w:val="22"/>
                <w:szCs w:val="22"/>
              </w:rPr>
            </w:pPr>
            <w:r w:rsidRPr="00B8258C">
              <w:rPr>
                <w:sz w:val="22"/>
                <w:szCs w:val="22"/>
              </w:rPr>
              <w:t>H: 226-390-314</w:t>
            </w:r>
          </w:p>
        </w:tc>
        <w:tc>
          <w:tcPr>
            <w:tcW w:w="3118" w:type="dxa"/>
            <w:gridSpan w:val="3"/>
            <w:shd w:val="clear" w:color="auto" w:fill="auto"/>
            <w:vAlign w:val="center"/>
          </w:tcPr>
          <w:p w:rsidR="000544FF" w:rsidRPr="00B8258C" w:rsidRDefault="000544FF" w:rsidP="00C11C4C">
            <w:pPr>
              <w:pStyle w:val="Beschriftung"/>
              <w:spacing w:after="0"/>
              <w:jc w:val="center"/>
              <w:rPr>
                <w:sz w:val="22"/>
                <w:szCs w:val="22"/>
              </w:rPr>
            </w:pPr>
            <w:r w:rsidRPr="00B8258C">
              <w:rPr>
                <w:sz w:val="22"/>
                <w:szCs w:val="22"/>
              </w:rPr>
              <w:t>P: 210-280-301+330+331-305+351+338-308+310</w:t>
            </w:r>
          </w:p>
        </w:tc>
      </w:tr>
      <w:tr w:rsidR="000544FF" w:rsidRPr="009C5E28" w:rsidTr="00C11C4C">
        <w:tc>
          <w:tcPr>
            <w:tcW w:w="1009" w:type="dxa"/>
            <w:tcBorders>
              <w:top w:val="single" w:sz="8" w:space="0" w:color="4F81BD"/>
              <w:left w:val="single" w:sz="8" w:space="0" w:color="4F81BD"/>
              <w:bottom w:val="single" w:sz="8" w:space="0" w:color="4F81BD"/>
            </w:tcBorders>
            <w:shd w:val="clear" w:color="auto" w:fill="auto"/>
            <w:vAlign w:val="center"/>
          </w:tcPr>
          <w:p w:rsidR="000544FF" w:rsidRPr="009C5E28" w:rsidRDefault="000544FF" w:rsidP="00C11C4C">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544FF" w:rsidRPr="009C5E28" w:rsidRDefault="000544FF" w:rsidP="00C11C4C">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r>
    </w:tbl>
    <w:p w:rsidR="000544FF" w:rsidRDefault="000544FF" w:rsidP="000544FF">
      <w:pPr>
        <w:tabs>
          <w:tab w:val="left" w:pos="1701"/>
          <w:tab w:val="left" w:pos="1985"/>
        </w:tabs>
        <w:ind w:left="1980" w:hanging="1980"/>
      </w:pPr>
    </w:p>
    <w:p w:rsidR="000544FF" w:rsidRDefault="000544FF" w:rsidP="000544FF">
      <w:pPr>
        <w:tabs>
          <w:tab w:val="left" w:pos="1701"/>
          <w:tab w:val="left" w:pos="1985"/>
        </w:tabs>
        <w:ind w:left="1980" w:hanging="1980"/>
      </w:pPr>
      <w:r>
        <w:t xml:space="preserve">Materialien: </w:t>
      </w:r>
      <w:r>
        <w:tab/>
      </w:r>
      <w:r>
        <w:tab/>
        <w:t xml:space="preserve">Reagenzglasständer, 3 Reagenzgläser, </w:t>
      </w:r>
      <w:proofErr w:type="spellStart"/>
      <w:r>
        <w:t>Pasteurpipette</w:t>
      </w:r>
      <w:proofErr w:type="spellEnd"/>
    </w:p>
    <w:p w:rsidR="000544FF" w:rsidRPr="00ED07C2" w:rsidRDefault="000544FF" w:rsidP="000544FF">
      <w:pPr>
        <w:tabs>
          <w:tab w:val="left" w:pos="1701"/>
          <w:tab w:val="left" w:pos="1985"/>
        </w:tabs>
        <w:ind w:left="1980" w:hanging="1980"/>
      </w:pPr>
      <w:r>
        <w:t>Chemikalien:</w:t>
      </w:r>
      <w:r>
        <w:tab/>
      </w:r>
      <w:r>
        <w:tab/>
        <w:t xml:space="preserve">Methansäure, Essigsäure, </w:t>
      </w:r>
      <w:proofErr w:type="spellStart"/>
      <w:r>
        <w:t>Propionsäure</w:t>
      </w:r>
      <w:proofErr w:type="spellEnd"/>
      <w:r>
        <w:t>, Kaliumpermanganat</w:t>
      </w:r>
    </w:p>
    <w:p w:rsidR="000544FF" w:rsidRDefault="000544FF" w:rsidP="000544FF">
      <w:pPr>
        <w:tabs>
          <w:tab w:val="left" w:pos="1701"/>
          <w:tab w:val="left" w:pos="1985"/>
        </w:tabs>
        <w:ind w:left="1980" w:hanging="1980"/>
      </w:pPr>
      <w:r>
        <w:t xml:space="preserve">Durchführung: </w:t>
      </w:r>
      <w:r>
        <w:tab/>
      </w:r>
      <w:r>
        <w:tab/>
      </w:r>
      <w:r>
        <w:tab/>
        <w:t>Je ein Reagenzglas wird mit 2 </w:t>
      </w:r>
      <w:proofErr w:type="spellStart"/>
      <w:r>
        <w:t>mL</w:t>
      </w:r>
      <w:proofErr w:type="spellEnd"/>
      <w:r>
        <w:t xml:space="preserve"> einer 25%-</w:t>
      </w:r>
      <w:proofErr w:type="spellStart"/>
      <w:r>
        <w:t>igen</w:t>
      </w:r>
      <w:proofErr w:type="spellEnd"/>
      <w:r>
        <w:t xml:space="preserve"> Lösung von Methansäure, Essigsäure und </w:t>
      </w:r>
      <w:proofErr w:type="spellStart"/>
      <w:r>
        <w:t>Propionsäure</w:t>
      </w:r>
      <w:proofErr w:type="spellEnd"/>
      <w:r>
        <w:t xml:space="preserve"> </w:t>
      </w:r>
      <w:proofErr w:type="spellStart"/>
      <w:r>
        <w:t>befüllt</w:t>
      </w:r>
      <w:proofErr w:type="spellEnd"/>
      <w:r>
        <w:t>. Anschließend werden in jedes Re</w:t>
      </w:r>
      <w:r>
        <w:t>a</w:t>
      </w:r>
      <w:r>
        <w:t xml:space="preserve">genzglas 4 Tropfen </w:t>
      </w:r>
      <w:proofErr w:type="spellStart"/>
      <w:r>
        <w:t>Kaliumpermanganatlösung</w:t>
      </w:r>
      <w:proofErr w:type="spellEnd"/>
      <w:r>
        <w:t xml:space="preserve"> gegeben. </w:t>
      </w:r>
    </w:p>
    <w:p w:rsidR="000544FF" w:rsidRDefault="000544FF" w:rsidP="000544FF">
      <w:pPr>
        <w:tabs>
          <w:tab w:val="left" w:pos="1701"/>
          <w:tab w:val="left" w:pos="1985"/>
        </w:tabs>
        <w:ind w:left="2124" w:hanging="2124"/>
      </w:pPr>
      <w:r>
        <w:t>Beobachtung:</w:t>
      </w:r>
      <w:r>
        <w:tab/>
      </w:r>
      <w:r>
        <w:tab/>
      </w:r>
      <w:r>
        <w:tab/>
        <w:t>Die violette Färbung des Kaliumpermanganats wird in allen Reagenzgl</w:t>
      </w:r>
      <w:r>
        <w:t>ä</w:t>
      </w:r>
      <w:r>
        <w:t>sern blasser. Die Ameisensäure entfärbt sich am schnellsten, die Essigsä</w:t>
      </w:r>
      <w:r>
        <w:t>u</w:t>
      </w:r>
      <w:r>
        <w:t xml:space="preserve">re am zweitschnellsten und die </w:t>
      </w:r>
      <w:proofErr w:type="spellStart"/>
      <w:r>
        <w:t>Propionsäure</w:t>
      </w:r>
      <w:proofErr w:type="spellEnd"/>
      <w:r>
        <w:t xml:space="preserve"> entfärbt sich am langsam</w:t>
      </w:r>
      <w:r>
        <w:t>s</w:t>
      </w:r>
      <w:r>
        <w:t>ten.</w:t>
      </w:r>
    </w:p>
    <w:p w:rsidR="000544FF" w:rsidRDefault="000544FF" w:rsidP="000544FF">
      <w:pPr>
        <w:tabs>
          <w:tab w:val="left" w:pos="1701"/>
          <w:tab w:val="left" w:pos="1985"/>
        </w:tabs>
        <w:ind w:left="2124" w:hanging="2124"/>
        <w:jc w:val="center"/>
      </w:pPr>
      <w:r>
        <w:rPr>
          <w:noProof/>
          <w:lang w:eastAsia="de-DE"/>
        </w:rPr>
        <w:lastRenderedPageBreak/>
        <w:drawing>
          <wp:inline distT="0" distB="0" distL="0" distR="0">
            <wp:extent cx="4086225" cy="2915257"/>
            <wp:effectExtent l="19050" t="0" r="9525" b="0"/>
            <wp:docPr id="49" name="Bild 7" descr="C:\Users\Kasperle\Desktop\SVP\SVP Chemie\Carbonsäure, Ester und Ether\Säurestörk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perle\Desktop\SVP\SVP Chemie\Carbonsäure, Ester und Ether\Säurestörke schnitt.png"/>
                    <pic:cNvPicPr>
                      <a:picLocks noChangeAspect="1" noChangeArrowheads="1"/>
                    </pic:cNvPicPr>
                  </pic:nvPicPr>
                  <pic:blipFill>
                    <a:blip r:embed="rId14" cstate="print"/>
                    <a:srcRect/>
                    <a:stretch>
                      <a:fillRect/>
                    </a:stretch>
                  </pic:blipFill>
                  <pic:spPr bwMode="auto">
                    <a:xfrm>
                      <a:off x="0" y="0"/>
                      <a:ext cx="4090830" cy="2918542"/>
                    </a:xfrm>
                    <a:prstGeom prst="rect">
                      <a:avLst/>
                    </a:prstGeom>
                    <a:noFill/>
                    <a:ln w="9525">
                      <a:noFill/>
                      <a:miter lim="800000"/>
                      <a:headEnd/>
                      <a:tailEnd/>
                    </a:ln>
                  </pic:spPr>
                </pic:pic>
              </a:graphicData>
            </a:graphic>
          </wp:inline>
        </w:drawing>
      </w:r>
    </w:p>
    <w:p w:rsidR="000544FF" w:rsidRPr="00A57952" w:rsidRDefault="000544FF" w:rsidP="000544FF">
      <w:pPr>
        <w:tabs>
          <w:tab w:val="left" w:pos="1701"/>
          <w:tab w:val="left" w:pos="1985"/>
        </w:tabs>
        <w:ind w:left="2124" w:hanging="2124"/>
        <w:jc w:val="left"/>
        <w:rPr>
          <w:sz w:val="18"/>
          <w:szCs w:val="18"/>
        </w:rPr>
      </w:pPr>
      <w:r>
        <w:rPr>
          <w:sz w:val="18"/>
          <w:szCs w:val="18"/>
        </w:rPr>
        <w:t>Abb. 4: Ameisensäure (links), Essigsäure (</w:t>
      </w:r>
      <w:proofErr w:type="spellStart"/>
      <w:r>
        <w:rPr>
          <w:sz w:val="18"/>
          <w:szCs w:val="18"/>
        </w:rPr>
        <w:t>mitte</w:t>
      </w:r>
      <w:proofErr w:type="spellEnd"/>
      <w:r>
        <w:rPr>
          <w:sz w:val="18"/>
          <w:szCs w:val="18"/>
        </w:rPr>
        <w:t xml:space="preserve">) und </w:t>
      </w:r>
      <w:proofErr w:type="spellStart"/>
      <w:r>
        <w:rPr>
          <w:sz w:val="18"/>
          <w:szCs w:val="18"/>
        </w:rPr>
        <w:t>Propionsäure</w:t>
      </w:r>
      <w:proofErr w:type="spellEnd"/>
      <w:r>
        <w:rPr>
          <w:sz w:val="18"/>
          <w:szCs w:val="18"/>
        </w:rPr>
        <w:t xml:space="preserve"> (rechts) nach Zugabe von Kaliumpermanganat</w:t>
      </w:r>
    </w:p>
    <w:p w:rsidR="000544FF" w:rsidRDefault="000544FF" w:rsidP="000544FF">
      <w:pPr>
        <w:tabs>
          <w:tab w:val="left" w:pos="1701"/>
          <w:tab w:val="left" w:pos="1985"/>
        </w:tabs>
        <w:ind w:left="2124" w:hanging="2124"/>
      </w:pPr>
      <w:r>
        <w:t>Deutung:</w:t>
      </w:r>
      <w:r>
        <w:tab/>
      </w:r>
      <w:r>
        <w:tab/>
      </w:r>
      <w:r>
        <w:tab/>
        <w:t>Das starke Oxidationsmittel Kaliumpermanganat oxidiert hier die en</w:t>
      </w:r>
      <w:r>
        <w:t>t</w:t>
      </w:r>
      <w:r>
        <w:t>sprechenden Säuren zu Kohlenstoffdioxid und wird selber zu Mangandi</w:t>
      </w:r>
      <w:r>
        <w:t>o</w:t>
      </w:r>
      <w:r>
        <w:t>xid reduziert. Die Reaktionsgleichung wird beispielhaft anhand der Ame</w:t>
      </w:r>
      <w:r>
        <w:t>i</w:t>
      </w:r>
      <w:r>
        <w:t>sensäure dargestellt.</w:t>
      </w:r>
    </w:p>
    <w:p w:rsidR="000544FF" w:rsidRDefault="000544FF" w:rsidP="000544FF">
      <w:pPr>
        <w:tabs>
          <w:tab w:val="left" w:pos="1701"/>
          <w:tab w:val="left" w:pos="1985"/>
        </w:tabs>
      </w:pPr>
      <m:oMathPara>
        <m:oMath>
          <m:sSubSup>
            <m:sSubSupPr>
              <m:ctrlPr>
                <w:rPr>
                  <w:rFonts w:ascii="Cambria Math" w:hAnsi="Cambria Math"/>
                  <w:i/>
                </w:rPr>
              </m:ctrlPr>
            </m:sSubSupPr>
            <m:e>
              <m:r>
                <w:rPr>
                  <w:rFonts w:ascii="Cambria Math" w:hAnsi="Cambria Math"/>
                </w:rPr>
                <m:t>2 MnO</m:t>
              </m:r>
            </m:e>
            <m:sub>
              <m:r>
                <w:rPr>
                  <w:rFonts w:ascii="Cambria Math" w:hAnsi="Cambria Math"/>
                </w:rPr>
                <m:t xml:space="preserve">4 </m:t>
              </m:r>
              <m:d>
                <m:dPr>
                  <m:ctrlPr>
                    <w:rPr>
                      <w:rFonts w:ascii="Cambria Math" w:hAnsi="Cambria Math"/>
                      <w:i/>
                    </w:rPr>
                  </m:ctrlPr>
                </m:dPr>
                <m:e>
                  <m:r>
                    <w:rPr>
                      <w:rFonts w:ascii="Cambria Math" w:hAnsi="Cambria Math"/>
                    </w:rPr>
                    <m:t>aq</m:t>
                  </m:r>
                </m:e>
              </m:d>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3 HCOOH</m:t>
              </m:r>
            </m:e>
            <m:sub>
              <m:r>
                <w:rPr>
                  <w:rFonts w:ascii="Cambria Math" w:hAnsi="Cambria Math"/>
                </w:rPr>
                <m:t>(aq)</m:t>
              </m:r>
            </m:sub>
          </m:sSub>
          <m:r>
            <w:rPr>
              <w:rFonts w:ascii="Cambria Math" w:hAnsi="Cambria Math"/>
            </w:rPr>
            <m:t xml:space="preserve">+ </m:t>
          </m:r>
          <m:sSubSup>
            <m:sSubSupPr>
              <m:ctrlPr>
                <w:rPr>
                  <w:rFonts w:ascii="Cambria Math" w:hAnsi="Cambria Math"/>
                  <w:i/>
                </w:rPr>
              </m:ctrlPr>
            </m:sSubSupPr>
            <m:e>
              <m:r>
                <w:rPr>
                  <w:rFonts w:ascii="Cambria Math" w:hAnsi="Cambria Math"/>
                </w:rPr>
                <m:t>2 H</m:t>
              </m:r>
            </m:e>
            <m:sub>
              <m:r>
                <w:rPr>
                  <w:rFonts w:ascii="Cambria Math" w:hAnsi="Cambria Math"/>
                </w:rPr>
                <m:t>(aq)</m:t>
              </m:r>
            </m:sub>
            <m:sup>
              <m:r>
                <w:rPr>
                  <w:rFonts w:ascii="Cambria Math" w:hAnsi="Cambria Math"/>
                </w:rPr>
                <m:t>+</m:t>
              </m:r>
            </m:sup>
          </m:sSubSup>
          <m:r>
            <w:rPr>
              <w:rFonts w:ascii="Cambria Math" w:hAnsi="Cambria Math"/>
            </w:rPr>
            <m:t xml:space="preserve"> → </m:t>
          </m:r>
          <m:sSub>
            <m:sSubPr>
              <m:ctrlPr>
                <w:rPr>
                  <w:rFonts w:ascii="Cambria Math" w:hAnsi="Cambria Math"/>
                  <w:i/>
                </w:rPr>
              </m:ctrlPr>
            </m:sSubPr>
            <m:e>
              <m:r>
                <w:rPr>
                  <w:rFonts w:ascii="Cambria Math" w:hAnsi="Cambria Math"/>
                </w:rPr>
                <m:t>2 MnO</m:t>
              </m:r>
            </m:e>
            <m:sub>
              <m:r>
                <w:rPr>
                  <w:rFonts w:ascii="Cambria Math" w:hAnsi="Cambria Math"/>
                </w:rPr>
                <m:t>2 (aq)</m:t>
              </m:r>
            </m:sub>
          </m:sSub>
          <m:r>
            <w:rPr>
              <w:rFonts w:ascii="Cambria Math" w:hAnsi="Cambria Math"/>
            </w:rPr>
            <m:t>+</m:t>
          </m:r>
          <m:sSub>
            <m:sSubPr>
              <m:ctrlPr>
                <w:rPr>
                  <w:rFonts w:ascii="Cambria Math" w:hAnsi="Cambria Math"/>
                  <w:i/>
                </w:rPr>
              </m:ctrlPr>
            </m:sSubPr>
            <m:e>
              <m:r>
                <w:rPr>
                  <w:rFonts w:ascii="Cambria Math" w:hAnsi="Cambria Math"/>
                </w:rPr>
                <m:t>4 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+ 3</m:t>
          </m:r>
          <m:sSub>
            <m:sSubPr>
              <m:ctrlPr>
                <w:rPr>
                  <w:rFonts w:ascii="Cambria Math" w:hAnsi="Cambria Math"/>
                  <w:i/>
                </w:rPr>
              </m:ctrlPr>
            </m:sSubPr>
            <m:e>
              <m:r>
                <w:rPr>
                  <w:rFonts w:ascii="Cambria Math" w:hAnsi="Cambria Math"/>
                </w:rPr>
                <m:t>CO</m:t>
              </m:r>
            </m:e>
            <m:sub>
              <m:r>
                <w:rPr>
                  <w:rFonts w:ascii="Cambria Math" w:hAnsi="Cambria Math"/>
                </w:rPr>
                <m:t>2 (g)</m:t>
              </m:r>
            </m:sub>
          </m:sSub>
        </m:oMath>
      </m:oMathPara>
    </w:p>
    <w:p w:rsidR="000544FF" w:rsidRDefault="000544FF" w:rsidP="000544FF">
      <w:pPr>
        <w:tabs>
          <w:tab w:val="left" w:pos="1701"/>
          <w:tab w:val="left" w:pos="1985"/>
        </w:tabs>
        <w:ind w:left="2124" w:hanging="2124"/>
        <w:rPr>
          <w:rFonts w:eastAsiaTheme="minorEastAsia"/>
        </w:rPr>
      </w:pPr>
      <w:r>
        <w:tab/>
      </w:r>
      <w:r>
        <w:tab/>
      </w:r>
      <w:r>
        <w:tab/>
        <w:t xml:space="preserve">Diese Reaktion findet am schnellsten mit der Ameisensäure statt, da sie von den verwendeten Säuren die höchste Säurestärke besitzt. Dies lässt sich dadurch erklären, dass sowohl bei Essigsäure, als auch bei </w:t>
      </w:r>
      <w:proofErr w:type="spellStart"/>
      <w:r>
        <w:t>Propionsäure</w:t>
      </w:r>
      <w:proofErr w:type="spellEnd"/>
      <w:r>
        <w:t xml:space="preserve"> ein weiterer Kohlenstoff an den </w:t>
      </w:r>
      <w:proofErr w:type="spellStart"/>
      <w:r>
        <w:t>Carboxylkohlenstoff</w:t>
      </w:r>
      <w:proofErr w:type="spellEnd"/>
      <w:r>
        <w:t xml:space="preserve"> g</w:t>
      </w:r>
      <w:r>
        <w:t>e</w:t>
      </w:r>
      <w:r>
        <w:t xml:space="preserve">bunden ist. Dieser hat einen +I-Effekt, wirkt also elektronenschiebend. Dadurch, dass die Elektronendich am </w:t>
      </w:r>
      <w:proofErr w:type="spellStart"/>
      <w:r>
        <w:t>Carboxylkohlenstoff</w:t>
      </w:r>
      <w:proofErr w:type="spellEnd"/>
      <w:r>
        <w:t xml:space="preserve"> erhöht wird, findet eine </w:t>
      </w:r>
      <w:proofErr w:type="spellStart"/>
      <w:r>
        <w:t>Depolarisierung</w:t>
      </w:r>
      <w:proofErr w:type="spellEnd"/>
      <w:r>
        <w:t xml:space="preserve"> der Bindung zwischen dem Sauerstoff und dem Wasserstoff der Hydroxylgruppe statt. Der Wasserstoff kann d</w:t>
      </w:r>
      <w:r>
        <w:t>a</w:t>
      </w:r>
      <w:r>
        <w:t xml:space="preserve">durch schlechter abgespalten werden.  </w:t>
      </w:r>
    </w:p>
    <w:p w:rsidR="000544FF" w:rsidRDefault="000544FF" w:rsidP="000544FF">
      <w:pPr>
        <w:spacing w:line="276" w:lineRule="auto"/>
        <w:jc w:val="left"/>
      </w:pPr>
      <w:r>
        <w:t>Entsorgung:</w:t>
      </w:r>
      <w:r>
        <w:tab/>
        <w:t xml:space="preserve">           </w:t>
      </w:r>
      <w:r>
        <w:tab/>
        <w:t>Die Lösungen werden im Säure-Base Behälter entsorgt.</w:t>
      </w:r>
    </w:p>
    <w:p w:rsidR="000544FF" w:rsidRPr="005B60E3" w:rsidRDefault="000544FF" w:rsidP="000544FF">
      <w:pPr>
        <w:spacing w:line="276" w:lineRule="auto"/>
        <w:ind w:left="2124" w:hanging="2124"/>
        <w:jc w:val="left"/>
        <w:rPr>
          <w:rFonts w:asciiTheme="majorHAnsi" w:eastAsiaTheme="majorEastAsia" w:hAnsiTheme="majorHAnsi" w:cstheme="majorBidi"/>
          <w:b/>
          <w:bCs/>
          <w:sz w:val="28"/>
          <w:szCs w:val="28"/>
        </w:rPr>
      </w:pPr>
      <w:r>
        <w:t>Literatur:</w:t>
      </w:r>
      <w:r>
        <w:tab/>
        <w:t xml:space="preserve">E. Irmer, R. Kleinhenn, et. al, </w:t>
      </w:r>
      <w:r w:rsidRPr="00254D76">
        <w:rPr>
          <w:i/>
        </w:rPr>
        <w:t>Elemente Chemie 11/12</w:t>
      </w:r>
      <w:r>
        <w:t>, Klett-Verlag, Stut</w:t>
      </w:r>
      <w:r>
        <w:t>t</w:t>
      </w:r>
      <w:r>
        <w:t>gart, 2010, S.48.</w:t>
      </w:r>
    </w:p>
    <w:p w:rsidR="000544FF" w:rsidRPr="003E45B2" w:rsidRDefault="000544FF" w:rsidP="000544FF">
      <w:pPr>
        <w:rPr>
          <w:rFonts w:asciiTheme="majorHAnsi" w:hAnsiTheme="majorHAnsi"/>
          <w:b/>
        </w:rPr>
      </w:pPr>
      <w:r w:rsidRPr="00491838">
        <w:pict>
          <v:shape id="_x0000_s1026" type="#_x0000_t202" style="width:462.45pt;height:120.15pt;mso-position-horizontal-relative:char;mso-position-vertical-relative:line;mso-width-relative:margin;mso-height-relative:margin" fillcolor="white [3201]" strokecolor="#c0504d [3205]" strokeweight="1pt">
            <v:stroke dashstyle="dash"/>
            <v:shadow color="#868686"/>
            <v:textbox style="mso-next-textbox:#_x0000_s1026">
              <w:txbxContent>
                <w:p w:rsidR="000544FF" w:rsidRPr="00F31EBF" w:rsidRDefault="000544FF" w:rsidP="000544FF">
                  <w:pPr>
                    <w:rPr>
                      <w:color w:val="auto"/>
                    </w:rPr>
                  </w:pPr>
                  <w:r w:rsidRPr="00F31EBF">
                    <w:rPr>
                      <w:b/>
                      <w:color w:val="auto"/>
                    </w:rPr>
                    <w:t xml:space="preserve">Unterrichtsanschlüsse </w:t>
                  </w:r>
                  <w:r>
                    <w:rPr>
                      <w:color w:val="auto"/>
                    </w:rPr>
                    <w:t>Der Versuch kann genutzt werden um die unterschiedlichen Säur</w:t>
                  </w:r>
                  <w:r>
                    <w:rPr>
                      <w:color w:val="auto"/>
                    </w:rPr>
                    <w:t>e</w:t>
                  </w:r>
                  <w:r>
                    <w:rPr>
                      <w:color w:val="auto"/>
                    </w:rPr>
                    <w:t xml:space="preserve">stärken der </w:t>
                  </w:r>
                  <w:proofErr w:type="spellStart"/>
                  <w:r>
                    <w:rPr>
                      <w:color w:val="auto"/>
                    </w:rPr>
                    <w:t>Alkansäuren</w:t>
                  </w:r>
                  <w:proofErr w:type="spellEnd"/>
                  <w:r>
                    <w:rPr>
                      <w:color w:val="auto"/>
                    </w:rPr>
                    <w:t xml:space="preserve"> zu demonstrieren. Er eignet sich nicht als Einstieg in das Themeng</w:t>
                  </w:r>
                  <w:r>
                    <w:rPr>
                      <w:color w:val="auto"/>
                    </w:rPr>
                    <w:t>e</w:t>
                  </w:r>
                  <w:r>
                    <w:rPr>
                      <w:color w:val="auto"/>
                    </w:rPr>
                    <w:t>biet der Carbonsäuren, kann aber vertiefend eingesetzt werden, nachdem die Grundstruktur und die Eigenschaften von Carbonsäuren bekannt sind. Der Geschwindigkeitsunterschied zw</w:t>
                  </w:r>
                  <w:r>
                    <w:rPr>
                      <w:color w:val="auto"/>
                    </w:rPr>
                    <w:t>i</w:t>
                  </w:r>
                  <w:r>
                    <w:rPr>
                      <w:color w:val="auto"/>
                    </w:rPr>
                    <w:t xml:space="preserve">schen Essigsäure und </w:t>
                  </w:r>
                  <w:proofErr w:type="spellStart"/>
                  <w:r>
                    <w:rPr>
                      <w:color w:val="auto"/>
                    </w:rPr>
                    <w:t>Propionsäure</w:t>
                  </w:r>
                  <w:proofErr w:type="spellEnd"/>
                  <w:r>
                    <w:rPr>
                      <w:color w:val="auto"/>
                    </w:rPr>
                    <w:t xml:space="preserve"> lässt sich häufig nur schwer sehen, da ihre Säurestärken sich nur minimal unterscheiden.</w:t>
                  </w:r>
                </w:p>
              </w:txbxContent>
            </v:textbox>
            <w10:wrap type="none"/>
            <w10:anchorlock/>
          </v:shape>
        </w:pict>
      </w:r>
    </w:p>
    <w:p w:rsidR="00E02EBF" w:rsidRDefault="00E63DA0"/>
    <w:sectPr w:rsidR="00E02EBF" w:rsidSect="00BA36F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544FF"/>
    <w:rsid w:val="000544FF"/>
    <w:rsid w:val="005B4687"/>
    <w:rsid w:val="00741CFF"/>
    <w:rsid w:val="00BA36F9"/>
    <w:rsid w:val="00E63DA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44FF"/>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544FF"/>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544FF"/>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544FF"/>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544F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544F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544F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544F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544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544F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544FF"/>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544F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544F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544F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544F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544F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544F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544F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544F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544FF"/>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0544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44FF"/>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306</Words>
  <Characters>1932</Characters>
  <Application>Microsoft Office Word</Application>
  <DocSecurity>0</DocSecurity>
  <Lines>16</Lines>
  <Paragraphs>4</Paragraphs>
  <ScaleCrop>false</ScaleCrop>
  <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 Nöhles</dc:creator>
  <cp:keywords/>
  <dc:description/>
  <cp:lastModifiedBy>Jannik Nöhles</cp:lastModifiedBy>
  <cp:revision>2</cp:revision>
  <dcterms:created xsi:type="dcterms:W3CDTF">2016-08-09T12:04:00Z</dcterms:created>
  <dcterms:modified xsi:type="dcterms:W3CDTF">2016-08-09T12:05:00Z</dcterms:modified>
</cp:coreProperties>
</file>