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BE9" w:rsidRDefault="007A4BE9" w:rsidP="007A4BE9">
      <w:pPr>
        <w:pStyle w:val="berschrift2"/>
        <w:rPr>
          <w:color w:val="auto"/>
        </w:rPr>
      </w:pPr>
      <w:r w:rsidRPr="00491838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.45pt;margin-top:49.9pt;width:462.45pt;height:59.9pt;z-index:251660288;mso-width-relative:margin;mso-height-relative:margin" fillcolor="white [3201]" strokecolor="#4bacc6 [3208]" strokeweight="1pt">
            <v:stroke dashstyle="dash"/>
            <v:shadow color="#868686"/>
            <v:textbox style="mso-next-textbox:#_x0000_s1027">
              <w:txbxContent>
                <w:p w:rsidR="007A4BE9" w:rsidRPr="00F31EBF" w:rsidRDefault="007A4BE9" w:rsidP="007A4BE9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In diesem Versuch wird die alkalische Hydrolyse von </w:t>
                  </w:r>
                  <w:proofErr w:type="spellStart"/>
                  <w:r>
                    <w:rPr>
                      <w:color w:val="auto"/>
                    </w:rPr>
                    <w:t>Essigsäureethylester</w:t>
                  </w:r>
                  <w:proofErr w:type="spellEnd"/>
                  <w:r>
                    <w:rPr>
                      <w:color w:val="auto"/>
                    </w:rPr>
                    <w:t xml:space="preserve"> gezeigt. Im Gege</w:t>
                  </w:r>
                  <w:r>
                    <w:rPr>
                      <w:color w:val="auto"/>
                    </w:rPr>
                    <w:t>n</w:t>
                  </w:r>
                  <w:r>
                    <w:rPr>
                      <w:color w:val="auto"/>
                    </w:rPr>
                    <w:t xml:space="preserve">satz zur sauren </w:t>
                  </w:r>
                  <w:proofErr w:type="spellStart"/>
                  <w:r>
                    <w:rPr>
                      <w:color w:val="auto"/>
                    </w:rPr>
                    <w:t>Esterhydrolyse</w:t>
                  </w:r>
                  <w:proofErr w:type="spellEnd"/>
                  <w:r>
                    <w:rPr>
                      <w:color w:val="auto"/>
                    </w:rPr>
                    <w:t xml:space="preserve"> handelt es sich hierbei nicht um eine Gleichgewichtsreaktion. 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sollten hierfür bereits mit der Struktur von Estern vertraut sein.</w:t>
                  </w:r>
                </w:p>
              </w:txbxContent>
            </v:textbox>
            <w10:wrap type="square"/>
          </v:shape>
        </w:pict>
      </w:r>
      <w:bookmarkStart w:id="0" w:name="_Toc458003202"/>
      <w:r w:rsidRPr="00CC307A">
        <w:rPr>
          <w:color w:val="auto"/>
        </w:rPr>
        <w:t>V2 –</w:t>
      </w:r>
      <w:r>
        <w:rPr>
          <w:color w:val="auto"/>
        </w:rPr>
        <w:t xml:space="preserve"> Alkalische </w:t>
      </w:r>
      <w:proofErr w:type="spellStart"/>
      <w:r>
        <w:rPr>
          <w:color w:val="auto"/>
        </w:rPr>
        <w:t>Esterhydrolyse</w:t>
      </w:r>
      <w:bookmarkEnd w:id="0"/>
      <w:proofErr w:type="spellEnd"/>
    </w:p>
    <w:p w:rsidR="007A4BE9" w:rsidRPr="006C1C30" w:rsidRDefault="007A4BE9" w:rsidP="007A4BE9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7A4BE9" w:rsidRPr="00F31EBF" w:rsidTr="00C11C4C">
        <w:tc>
          <w:tcPr>
            <w:tcW w:w="9322" w:type="dxa"/>
            <w:gridSpan w:val="9"/>
            <w:shd w:val="clear" w:color="auto" w:fill="4F81BD"/>
            <w:vAlign w:val="center"/>
          </w:tcPr>
          <w:p w:rsidR="007A4BE9" w:rsidRPr="00F31EBF" w:rsidRDefault="007A4BE9" w:rsidP="00C11C4C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7A4BE9" w:rsidRPr="006B1FC4" w:rsidTr="00C11C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 w:line="276" w:lineRule="auto"/>
              <w:jc w:val="center"/>
              <w:rPr>
                <w:color w:val="auto"/>
              </w:rPr>
            </w:pPr>
            <w:r w:rsidRPr="004366A0">
              <w:rPr>
                <w:color w:val="auto"/>
              </w:rPr>
              <w:t>Ethanol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4366A0">
              <w:rPr>
                <w:sz w:val="22"/>
                <w:szCs w:val="22"/>
              </w:rPr>
              <w:t>H: 225-319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4366A0">
              <w:rPr>
                <w:sz w:val="22"/>
                <w:szCs w:val="22"/>
              </w:rPr>
              <w:t>P: 210-240-305+351+338-403+233</w:t>
            </w:r>
          </w:p>
        </w:tc>
      </w:tr>
      <w:tr w:rsidR="007A4BE9" w:rsidRPr="006B1FC4" w:rsidTr="00C11C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 w:line="276" w:lineRule="auto"/>
              <w:jc w:val="center"/>
              <w:rPr>
                <w:bCs/>
              </w:rPr>
            </w:pPr>
            <w:r w:rsidRPr="004366A0">
              <w:rPr>
                <w:color w:val="auto"/>
              </w:rPr>
              <w:t xml:space="preserve">Essigsäure 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4366A0">
              <w:rPr>
                <w:sz w:val="22"/>
                <w:szCs w:val="22"/>
              </w:rPr>
              <w:t xml:space="preserve">H: </w:t>
            </w:r>
            <w:r>
              <w:rPr>
                <w:sz w:val="22"/>
                <w:szCs w:val="22"/>
              </w:rPr>
              <w:t>226-2</w:t>
            </w:r>
            <w:r w:rsidRPr="004366A0">
              <w:rPr>
                <w:sz w:val="22"/>
                <w:szCs w:val="22"/>
              </w:rPr>
              <w:t>90-314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4366A0">
              <w:rPr>
                <w:sz w:val="22"/>
                <w:szCs w:val="22"/>
              </w:rPr>
              <w:t>P: 210-280-301+330+331-305+351+338-308+310</w:t>
            </w:r>
          </w:p>
        </w:tc>
      </w:tr>
      <w:tr w:rsidR="007A4BE9" w:rsidRPr="006B1FC4" w:rsidTr="00C11C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Natriumacetat 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 w:rsidRPr="004366A0">
              <w:rPr>
                <w:color w:val="auto"/>
              </w:rPr>
              <w:t>H: 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 w:rsidRPr="004366A0">
              <w:rPr>
                <w:color w:val="auto"/>
              </w:rPr>
              <w:t>P: -</w:t>
            </w:r>
          </w:p>
        </w:tc>
      </w:tr>
      <w:tr w:rsidR="007A4BE9" w:rsidRPr="006B1FC4" w:rsidTr="00C11C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 w:line="276" w:lineRule="auto"/>
              <w:jc w:val="center"/>
              <w:rPr>
                <w:color w:val="auto"/>
              </w:rPr>
            </w:pPr>
            <w:proofErr w:type="spellStart"/>
            <w:r w:rsidRPr="004366A0">
              <w:rPr>
                <w:color w:val="auto"/>
              </w:rPr>
              <w:t>Essigsäureethylester</w:t>
            </w:r>
            <w:proofErr w:type="spellEnd"/>
            <w:r w:rsidRPr="004366A0">
              <w:rPr>
                <w:color w:val="auto"/>
              </w:rPr>
              <w:t xml:space="preserve"> (</w:t>
            </w:r>
            <w:r w:rsidRPr="004366A0">
              <w:rPr>
                <w:i/>
                <w:color w:val="auto"/>
              </w:rPr>
              <w:t>w</w:t>
            </w:r>
            <w:r w:rsidRPr="004366A0">
              <w:rPr>
                <w:color w:val="auto"/>
              </w:rPr>
              <w:t> = 95%)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>
              <w:rPr>
                <w:color w:val="auto"/>
              </w:rPr>
              <w:t>H: 225-319-</w:t>
            </w:r>
            <w:r w:rsidRPr="004366A0">
              <w:rPr>
                <w:color w:val="auto"/>
              </w:rPr>
              <w:t>336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>
              <w:rPr>
                <w:color w:val="auto"/>
              </w:rPr>
              <w:t>P: 210-233-240-</w:t>
            </w:r>
            <w:r w:rsidRPr="004366A0">
              <w:rPr>
                <w:color w:val="auto"/>
              </w:rPr>
              <w:t>305+351+338</w:t>
            </w:r>
            <w:r>
              <w:rPr>
                <w:color w:val="auto"/>
              </w:rPr>
              <w:t>-403+235</w:t>
            </w:r>
          </w:p>
        </w:tc>
      </w:tr>
      <w:tr w:rsidR="007A4BE9" w:rsidRPr="00B8258C" w:rsidTr="00C11C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 w:line="276" w:lineRule="auto"/>
              <w:jc w:val="center"/>
              <w:rPr>
                <w:b/>
                <w:bCs/>
                <w:color w:val="auto"/>
              </w:rPr>
            </w:pPr>
            <w:r w:rsidRPr="004366A0">
              <w:rPr>
                <w:color w:val="auto"/>
              </w:rPr>
              <w:t xml:space="preserve">Natronlauge (c = 1 </w:t>
            </w:r>
            <w:proofErr w:type="spellStart"/>
            <w:r w:rsidRPr="004366A0">
              <w:rPr>
                <w:color w:val="auto"/>
              </w:rPr>
              <w:t>mol</w:t>
            </w:r>
            <w:proofErr w:type="spellEnd"/>
            <w:r w:rsidRPr="004366A0">
              <w:rPr>
                <w:color w:val="auto"/>
              </w:rPr>
              <w:t>/L)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 w:rsidRPr="004366A0">
              <w:rPr>
                <w:color w:val="auto"/>
              </w:rPr>
              <w:t>H: 314, 2990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 w:rsidRPr="004366A0">
              <w:rPr>
                <w:color w:val="auto"/>
              </w:rPr>
              <w:t>P: 280, 301+330+331, 309+310, 305+351+338</w:t>
            </w:r>
          </w:p>
        </w:tc>
      </w:tr>
      <w:tr w:rsidR="007A4BE9" w:rsidRPr="00B8258C" w:rsidTr="00C11C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 w:line="276" w:lineRule="auto"/>
              <w:jc w:val="center"/>
              <w:rPr>
                <w:color w:val="auto"/>
              </w:rPr>
            </w:pPr>
            <w:r w:rsidRPr="004366A0">
              <w:rPr>
                <w:color w:val="auto"/>
              </w:rPr>
              <w:t>Phenolphthalein (</w:t>
            </w:r>
            <w:r w:rsidRPr="004366A0">
              <w:rPr>
                <w:i/>
                <w:color w:val="auto"/>
              </w:rPr>
              <w:t>w</w:t>
            </w:r>
            <w:r w:rsidRPr="004366A0">
              <w:rPr>
                <w:color w:val="auto"/>
              </w:rPr>
              <w:t xml:space="preserve"> = 0,1%)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>
              <w:rPr>
                <w:color w:val="auto"/>
              </w:rPr>
              <w:t>H:350-341-</w:t>
            </w:r>
            <w:r w:rsidRPr="004366A0">
              <w:rPr>
                <w:color w:val="auto"/>
              </w:rPr>
              <w:t>361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>
              <w:rPr>
                <w:color w:val="auto"/>
              </w:rPr>
              <w:t>P: 201-281-</w:t>
            </w:r>
            <w:r w:rsidRPr="004366A0">
              <w:rPr>
                <w:color w:val="auto"/>
              </w:rPr>
              <w:t>308+313</w:t>
            </w:r>
          </w:p>
        </w:tc>
      </w:tr>
      <w:tr w:rsidR="007A4BE9" w:rsidRPr="00B8258C" w:rsidTr="00C11C4C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 w:line="276" w:lineRule="auto"/>
              <w:jc w:val="center"/>
              <w:rPr>
                <w:color w:val="auto"/>
              </w:rPr>
            </w:pPr>
            <w:r w:rsidRPr="004366A0">
              <w:rPr>
                <w:color w:val="auto"/>
              </w:rPr>
              <w:t>Eisen(III)</w:t>
            </w:r>
            <w:proofErr w:type="spellStart"/>
            <w:r w:rsidRPr="004366A0">
              <w:rPr>
                <w:color w:val="auto"/>
              </w:rPr>
              <w:t>chlorid</w:t>
            </w:r>
            <w:proofErr w:type="spellEnd"/>
            <w:r w:rsidRPr="004366A0">
              <w:rPr>
                <w:color w:val="auto"/>
              </w:rPr>
              <w:t xml:space="preserve"> 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 w:rsidRPr="004366A0">
              <w:rPr>
                <w:color w:val="auto"/>
              </w:rPr>
              <w:t>H</w:t>
            </w:r>
            <w:r>
              <w:rPr>
                <w:color w:val="auto"/>
              </w:rPr>
              <w:t>:290-302-315-318-</w:t>
            </w:r>
            <w:r w:rsidRPr="004366A0">
              <w:rPr>
                <w:color w:val="auto"/>
              </w:rPr>
              <w:t>317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7A4BE9" w:rsidRPr="004366A0" w:rsidRDefault="007A4BE9" w:rsidP="00C11C4C">
            <w:pPr>
              <w:spacing w:after="0"/>
              <w:jc w:val="center"/>
              <w:rPr>
                <w:color w:val="auto"/>
              </w:rPr>
            </w:pPr>
            <w:r w:rsidRPr="004366A0">
              <w:rPr>
                <w:color w:val="auto"/>
              </w:rPr>
              <w:t>P: 280</w:t>
            </w:r>
            <w:r>
              <w:rPr>
                <w:color w:val="auto"/>
              </w:rPr>
              <w:t>-302+352-305+351+338</w:t>
            </w:r>
          </w:p>
        </w:tc>
      </w:tr>
      <w:tr w:rsidR="007A4BE9" w:rsidRPr="009C5E28" w:rsidTr="00C11C4C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9C5E28" w:rsidRDefault="007A4BE9" w:rsidP="00C11C4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9C5E28" w:rsidRDefault="007A4BE9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9C5E28" w:rsidRDefault="007A4BE9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9C5E28" w:rsidRDefault="007A4BE9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9C5E28" w:rsidRDefault="007A4BE9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9C5E28" w:rsidRDefault="007A4BE9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9C5E28" w:rsidRDefault="007A4BE9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BE9" w:rsidRPr="009C5E28" w:rsidRDefault="007A4BE9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BE9" w:rsidRPr="009C5E28" w:rsidRDefault="007A4BE9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BE9" w:rsidRDefault="007A4BE9" w:rsidP="007A4BE9"/>
    <w:p w:rsidR="007A4BE9" w:rsidRDefault="007A4BE9" w:rsidP="007A4BE9">
      <w:r>
        <w:t xml:space="preserve">Materialien: </w:t>
      </w:r>
      <w:r>
        <w:tab/>
      </w:r>
      <w:r>
        <w:tab/>
        <w:t xml:space="preserve">Reagenzglasständer, 3 Reagenzgläser, Stopfen, </w:t>
      </w:r>
      <w:proofErr w:type="spellStart"/>
      <w:r>
        <w:t>Pasteurpipetten</w:t>
      </w:r>
      <w:proofErr w:type="spellEnd"/>
    </w:p>
    <w:p w:rsidR="007A4BE9" w:rsidRDefault="007A4BE9" w:rsidP="007A4BE9">
      <w:pPr>
        <w:ind w:left="2124" w:hanging="2124"/>
      </w:pPr>
      <w:r>
        <w:t>Chemikalien:</w:t>
      </w:r>
      <w:r>
        <w:tab/>
      </w:r>
      <w:proofErr w:type="spellStart"/>
      <w:r>
        <w:t>Essigsäureethylester</w:t>
      </w:r>
      <w:proofErr w:type="spellEnd"/>
      <w:r>
        <w:t xml:space="preserve">, Phenolphtalein </w:t>
      </w:r>
      <w:r w:rsidRPr="004366A0">
        <w:rPr>
          <w:color w:val="auto"/>
        </w:rPr>
        <w:t>(</w:t>
      </w:r>
      <w:r w:rsidRPr="004366A0">
        <w:rPr>
          <w:i/>
          <w:color w:val="auto"/>
        </w:rPr>
        <w:t>w</w:t>
      </w:r>
      <w:r w:rsidRPr="004366A0">
        <w:rPr>
          <w:color w:val="auto"/>
        </w:rPr>
        <w:t xml:space="preserve"> = 0,1%)</w:t>
      </w:r>
      <w:r>
        <w:t>, Natronlauge, Natriu</w:t>
      </w:r>
      <w:r>
        <w:t>m</w:t>
      </w:r>
      <w:r>
        <w:t>acetat, Eisen(III)</w:t>
      </w:r>
      <w:proofErr w:type="spellStart"/>
      <w:r>
        <w:t>chlorid</w:t>
      </w:r>
      <w:proofErr w:type="spellEnd"/>
      <w:r>
        <w:t xml:space="preserve">, </w:t>
      </w:r>
    </w:p>
    <w:p w:rsidR="007A4BE9" w:rsidRDefault="007A4BE9" w:rsidP="007A4BE9">
      <w:pPr>
        <w:ind w:left="2124" w:hanging="2124"/>
      </w:pPr>
    </w:p>
    <w:p w:rsidR="007A4BE9" w:rsidRDefault="007A4BE9" w:rsidP="007A4BE9">
      <w:pPr>
        <w:ind w:left="2124" w:hanging="2124"/>
      </w:pPr>
    </w:p>
    <w:p w:rsidR="007A4BE9" w:rsidRDefault="007A4BE9" w:rsidP="007A4BE9">
      <w:pPr>
        <w:ind w:left="2124" w:hanging="2124"/>
      </w:pPr>
    </w:p>
    <w:p w:rsidR="007A4BE9" w:rsidRDefault="007A4BE9" w:rsidP="007A4BE9">
      <w:pPr>
        <w:ind w:left="2124" w:hanging="2124"/>
      </w:pPr>
    </w:p>
    <w:p w:rsidR="007A4BE9" w:rsidRDefault="007A4BE9" w:rsidP="007A4BE9">
      <w:pPr>
        <w:ind w:left="2124" w:hanging="2124"/>
      </w:pPr>
    </w:p>
    <w:p w:rsidR="007A4BE9" w:rsidRDefault="007A4BE9" w:rsidP="007A4BE9">
      <w:pPr>
        <w:ind w:left="2124" w:hanging="2124"/>
      </w:pPr>
    </w:p>
    <w:p w:rsidR="007A4BE9" w:rsidRPr="006C1C30" w:rsidRDefault="007A4BE9" w:rsidP="007A4BE9">
      <w:pPr>
        <w:ind w:left="2124" w:hanging="2124"/>
      </w:pPr>
      <w:r>
        <w:lastRenderedPageBreak/>
        <w:t>Durchführung:</w:t>
      </w:r>
      <w:r>
        <w:tab/>
        <w:t xml:space="preserve">Die drei Reagenzgläser werden nach folgendem Schema </w:t>
      </w:r>
      <w:proofErr w:type="spellStart"/>
      <w:r>
        <w:t>befüllt</w:t>
      </w:r>
      <w:proofErr w:type="spellEnd"/>
      <w:r>
        <w:t>:</w:t>
      </w:r>
    </w:p>
    <w:tbl>
      <w:tblPr>
        <w:tblStyle w:val="Tabellengitternetz"/>
        <w:tblW w:w="7568" w:type="dxa"/>
        <w:tblInd w:w="1809" w:type="dxa"/>
        <w:tblLook w:val="04A0"/>
      </w:tblPr>
      <w:tblGrid>
        <w:gridCol w:w="1985"/>
        <w:gridCol w:w="2835"/>
        <w:gridCol w:w="2748"/>
      </w:tblGrid>
      <w:tr w:rsidR="007A4BE9" w:rsidTr="00C11C4C">
        <w:trPr>
          <w:trHeight w:val="423"/>
        </w:trPr>
        <w:tc>
          <w:tcPr>
            <w:tcW w:w="1985" w:type="dxa"/>
          </w:tcPr>
          <w:p w:rsidR="007A4BE9" w:rsidRDefault="007A4BE9" w:rsidP="00C11C4C">
            <w:pPr>
              <w:jc w:val="left"/>
            </w:pPr>
            <w:r>
              <w:t>Reagenzglas 1</w:t>
            </w:r>
          </w:p>
        </w:tc>
        <w:tc>
          <w:tcPr>
            <w:tcW w:w="2835" w:type="dxa"/>
          </w:tcPr>
          <w:p w:rsidR="007A4BE9" w:rsidRDefault="007A4BE9" w:rsidP="00C11C4C">
            <w:pPr>
              <w:jc w:val="left"/>
            </w:pPr>
            <w:r>
              <w:t>Reagenzglas 2</w:t>
            </w:r>
          </w:p>
        </w:tc>
        <w:tc>
          <w:tcPr>
            <w:tcW w:w="2748" w:type="dxa"/>
          </w:tcPr>
          <w:p w:rsidR="007A4BE9" w:rsidRDefault="007A4BE9" w:rsidP="00C11C4C">
            <w:pPr>
              <w:jc w:val="left"/>
            </w:pPr>
            <w:r>
              <w:t>Reagenzglas 3</w:t>
            </w:r>
          </w:p>
        </w:tc>
      </w:tr>
      <w:tr w:rsidR="007A4BE9" w:rsidTr="00C11C4C">
        <w:trPr>
          <w:trHeight w:val="2629"/>
        </w:trPr>
        <w:tc>
          <w:tcPr>
            <w:tcW w:w="1985" w:type="dxa"/>
          </w:tcPr>
          <w:p w:rsidR="007A4BE9" w:rsidRDefault="007A4BE9" w:rsidP="00C11C4C">
            <w:pPr>
              <w:jc w:val="left"/>
            </w:pPr>
            <w:r>
              <w:t xml:space="preserve">2 </w:t>
            </w:r>
            <w:proofErr w:type="spellStart"/>
            <w:r>
              <w:t>mL</w:t>
            </w:r>
            <w:proofErr w:type="spellEnd"/>
            <w:r>
              <w:t xml:space="preserve"> Eisenchl</w:t>
            </w:r>
            <w:r>
              <w:t>o</w:t>
            </w:r>
            <w:r>
              <w:t xml:space="preserve">rid-Lösung, 2 </w:t>
            </w:r>
            <w:proofErr w:type="spellStart"/>
            <w:r>
              <w:t>mL</w:t>
            </w:r>
            <w:proofErr w:type="spellEnd"/>
            <w:r>
              <w:t xml:space="preserve"> Natriumacetat-Lösung</w:t>
            </w:r>
          </w:p>
        </w:tc>
        <w:tc>
          <w:tcPr>
            <w:tcW w:w="2835" w:type="dxa"/>
          </w:tcPr>
          <w:p w:rsidR="007A4BE9" w:rsidRDefault="007A4BE9" w:rsidP="00C11C4C">
            <w:pPr>
              <w:jc w:val="left"/>
            </w:pPr>
            <w:r>
              <w:t xml:space="preserve">2 </w:t>
            </w:r>
            <w:proofErr w:type="spellStart"/>
            <w:r>
              <w:t>mL</w:t>
            </w:r>
            <w:proofErr w:type="spellEnd"/>
            <w:r>
              <w:t xml:space="preserve"> </w:t>
            </w:r>
            <w:proofErr w:type="spellStart"/>
            <w:r>
              <w:t>Essigsäureethylester</w:t>
            </w:r>
            <w:proofErr w:type="spellEnd"/>
            <w:r>
              <w:t xml:space="preserve">, 2 </w:t>
            </w:r>
            <w:proofErr w:type="spellStart"/>
            <w:r>
              <w:t>mL</w:t>
            </w:r>
            <w:proofErr w:type="spellEnd"/>
            <w:r>
              <w:t xml:space="preserve"> Eisenchlorid-Lösung</w:t>
            </w:r>
          </w:p>
          <w:p w:rsidR="007A4BE9" w:rsidRDefault="007A4BE9" w:rsidP="00C11C4C">
            <w:pPr>
              <w:jc w:val="left"/>
            </w:pPr>
          </w:p>
          <w:p w:rsidR="007A4BE9" w:rsidRDefault="007A4BE9" w:rsidP="00C11C4C">
            <w:pPr>
              <w:jc w:val="left"/>
            </w:pPr>
          </w:p>
        </w:tc>
        <w:tc>
          <w:tcPr>
            <w:tcW w:w="2748" w:type="dxa"/>
          </w:tcPr>
          <w:p w:rsidR="007A4BE9" w:rsidRDefault="007A4BE9" w:rsidP="00C11C4C">
            <w:pPr>
              <w:jc w:val="left"/>
            </w:pPr>
            <w:r>
              <w:t xml:space="preserve">2 </w:t>
            </w:r>
            <w:proofErr w:type="spellStart"/>
            <w:r>
              <w:t>mL</w:t>
            </w:r>
            <w:proofErr w:type="spellEnd"/>
            <w:r>
              <w:t xml:space="preserve"> </w:t>
            </w:r>
            <w:proofErr w:type="spellStart"/>
            <w:r>
              <w:t>Essigsäureethylester</w:t>
            </w:r>
            <w:proofErr w:type="spellEnd"/>
            <w:r>
              <w:t xml:space="preserve">, 4 </w:t>
            </w:r>
            <w:proofErr w:type="spellStart"/>
            <w:r>
              <w:t>mL</w:t>
            </w:r>
            <w:proofErr w:type="spellEnd"/>
            <w:r>
              <w:t xml:space="preserve"> destilliertes Wasser, 4 Tropfen Phenolphtalein-Lösung, einige Tropfen Natronlauge</w:t>
            </w:r>
          </w:p>
        </w:tc>
      </w:tr>
    </w:tbl>
    <w:p w:rsidR="007A4BE9" w:rsidRDefault="007A4BE9" w:rsidP="007A4BE9">
      <w:pPr>
        <w:ind w:left="2124" w:hanging="2124"/>
      </w:pPr>
    </w:p>
    <w:p w:rsidR="007A4BE9" w:rsidRDefault="007A4BE9" w:rsidP="007A4BE9">
      <w:pPr>
        <w:ind w:left="2124" w:hanging="2124"/>
      </w:pPr>
      <w:r>
        <w:tab/>
        <w:t>Reagenzglas 3 wird anschließend mit einem Stopfen verschlossen und solange geschüttelt bis die rosa Färbung verschwunden ist. Anschließend wird ca. 1 </w:t>
      </w:r>
      <w:proofErr w:type="spellStart"/>
      <w:r>
        <w:t>mL</w:t>
      </w:r>
      <w:proofErr w:type="spellEnd"/>
      <w:r>
        <w:t xml:space="preserve"> Eisenchlorid-Lösung in das Reagenzglas gegeben.</w:t>
      </w:r>
    </w:p>
    <w:p w:rsidR="007A4BE9" w:rsidRDefault="007A4BE9" w:rsidP="007A4BE9">
      <w:pPr>
        <w:ind w:left="2124" w:hanging="2124"/>
      </w:pPr>
      <w:r>
        <w:t>Beobachtung:</w:t>
      </w:r>
      <w:r>
        <w:tab/>
        <w:t>Reagenzglas 1: Nach Zugabe der Eisenchlorid-Lösung ist eine orange-braune Färbung zu sehen.</w:t>
      </w:r>
    </w:p>
    <w:p w:rsidR="007A4BE9" w:rsidRDefault="007A4BE9" w:rsidP="007A4BE9">
      <w:pPr>
        <w:ind w:left="2124" w:hanging="2124"/>
      </w:pPr>
      <w:r>
        <w:tab/>
        <w:t>Reagenzglas 2:</w:t>
      </w:r>
      <w:r>
        <w:tab/>
        <w:t>Nach Zugabe der Eisenchlorid-Lösung bilden sich zwei Phasen im Reagenzglas. Die untere Phase ist gelb gefärbt.</w:t>
      </w:r>
    </w:p>
    <w:p w:rsidR="007A4BE9" w:rsidRDefault="007A4BE9" w:rsidP="007A4BE9">
      <w:pPr>
        <w:ind w:left="2124" w:hanging="2124"/>
      </w:pPr>
      <w:r>
        <w:tab/>
        <w:t>Reagenzglas 3:</w:t>
      </w:r>
      <w:r>
        <w:tab/>
        <w:t xml:space="preserve">Nach Zugabe der Natronlauge färbt sich die Lösung rosa. Durch das schütteln wird die Lösung wieder entfärbt. Nach Zugabe von Eisenchlorid-Lösung ist eine orange-braune Färbung zu erkennen. </w:t>
      </w:r>
    </w:p>
    <w:p w:rsidR="007A4BE9" w:rsidRDefault="007A4BE9" w:rsidP="007A4BE9">
      <w:pPr>
        <w:ind w:left="2124" w:hanging="2124"/>
        <w:jc w:val="center"/>
      </w:pPr>
      <w:r>
        <w:rPr>
          <w:noProof/>
          <w:lang w:eastAsia="de-DE"/>
        </w:rPr>
        <w:drawing>
          <wp:inline distT="0" distB="0" distL="0" distR="0">
            <wp:extent cx="3819525" cy="2902402"/>
            <wp:effectExtent l="0" t="0" r="0" b="0"/>
            <wp:docPr id="50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perle\Desktop\SVP\SVP Chemie\Carbonsäure, Ester und Ether\Hydrolyse Schnit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508" cy="290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E9" w:rsidRPr="009B3F04" w:rsidRDefault="007A4BE9" w:rsidP="007A4BE9">
      <w:pPr>
        <w:ind w:left="2124" w:hanging="2124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Abb. 5: Alkalische </w:t>
      </w:r>
      <w:proofErr w:type="spellStart"/>
      <w:r>
        <w:rPr>
          <w:sz w:val="18"/>
          <w:szCs w:val="18"/>
        </w:rPr>
        <w:t>Esterhydrolyse</w:t>
      </w:r>
      <w:proofErr w:type="spellEnd"/>
      <w:r>
        <w:rPr>
          <w:sz w:val="18"/>
          <w:szCs w:val="18"/>
        </w:rPr>
        <w:t xml:space="preserve"> Beobachtung: Reagenzglas 1 (links), Reagenzglas 2 (</w:t>
      </w:r>
      <w:proofErr w:type="spellStart"/>
      <w:r>
        <w:rPr>
          <w:sz w:val="18"/>
          <w:szCs w:val="18"/>
        </w:rPr>
        <w:t>mitte</w:t>
      </w:r>
      <w:proofErr w:type="spellEnd"/>
      <w:r>
        <w:rPr>
          <w:sz w:val="18"/>
          <w:szCs w:val="18"/>
        </w:rPr>
        <w:t>) Reagenzglas 3 (rechts).</w:t>
      </w:r>
    </w:p>
    <w:p w:rsidR="007A4BE9" w:rsidRDefault="007A4BE9" w:rsidP="007A4BE9">
      <w:pPr>
        <w:ind w:left="2124" w:hanging="2124"/>
      </w:pPr>
      <w:r>
        <w:lastRenderedPageBreak/>
        <w:t>Deutung:</w:t>
      </w:r>
      <w:r>
        <w:tab/>
        <w:t xml:space="preserve">In Reagenzglas 3 findet eine alkalische </w:t>
      </w:r>
      <w:proofErr w:type="spellStart"/>
      <w:r>
        <w:t>Esterhydrolyse</w:t>
      </w:r>
      <w:proofErr w:type="spellEnd"/>
      <w:r>
        <w:t xml:space="preserve"> nach folgendem Mechanismus statt:</w:t>
      </w:r>
    </w:p>
    <w:p w:rsidR="007A4BE9" w:rsidRDefault="007A4BE9" w:rsidP="007A4BE9">
      <w:pPr>
        <w:ind w:left="2124" w:hanging="2124"/>
        <w:jc w:val="center"/>
      </w:pPr>
      <w:r w:rsidRPr="00A44FF4">
        <w:rPr>
          <w:noProof/>
          <w:lang w:eastAsia="de-DE"/>
        </w:rPr>
        <w:drawing>
          <wp:inline distT="0" distB="0" distL="0" distR="0">
            <wp:extent cx="5734050" cy="2228850"/>
            <wp:effectExtent l="0" t="0" r="0" b="0"/>
            <wp:docPr id="24" name="Grafik 24" descr="C:\Users\Jannik\Documents\Studium\SVP Chemie\Aktueller Ordner\SVP Chemie\Carbonsäure, Ester und Ether\Alkalische Esterhydro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nik\Documents\Studium\SVP Chemie\Aktueller Ordner\SVP Chemie\Carbonsäure, Ester und Ether\Alkalische Esterhydroly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E9" w:rsidRDefault="007A4BE9" w:rsidP="007A4BE9">
      <w:pPr>
        <w:ind w:left="2124" w:hanging="2124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Abb. 6: Mechanismus der alkalischen </w:t>
      </w:r>
      <w:proofErr w:type="spellStart"/>
      <w:r>
        <w:rPr>
          <w:sz w:val="18"/>
          <w:szCs w:val="18"/>
        </w:rPr>
        <w:t>Esterhydrolyse</w:t>
      </w:r>
      <w:proofErr w:type="spellEnd"/>
      <w:r>
        <w:rPr>
          <w:sz w:val="18"/>
          <w:szCs w:val="18"/>
        </w:rPr>
        <w:t xml:space="preserve"> (allgemein)</w:t>
      </w:r>
    </w:p>
    <w:p w:rsidR="007A4BE9" w:rsidRDefault="007A4BE9" w:rsidP="007A4BE9">
      <w:pPr>
        <w:ind w:left="2124" w:hanging="2124"/>
      </w:pPr>
      <w:r>
        <w:tab/>
        <w:t>Die rosa Färbung ist durch den Indikator Phenolphtalein zu erklären. Nach Zugabe der Natronlauge wird die Lösung alkalisch, was einem Far</w:t>
      </w:r>
      <w:r>
        <w:t>b</w:t>
      </w:r>
      <w:r>
        <w:t>umschlag des Indikators zur Folge hat. Die Natronlauge wird allerdings in der Reaktion umgesetzt, wodurch der Farbumschlag wieder verschwi</w:t>
      </w:r>
      <w:r>
        <w:t>n</w:t>
      </w:r>
      <w:r>
        <w:t>det. Eisenchlorid dient hierbei als Nachweis für Acetat-Ionen. Die Eise</w:t>
      </w:r>
      <w:r>
        <w:t>n</w:t>
      </w:r>
      <w:r>
        <w:t xml:space="preserve">ionen bilden mit den Acetationen einen orange-braunen Eisenacetat-Komplex. Reagenzglas 1 dient als </w:t>
      </w:r>
      <w:proofErr w:type="gramStart"/>
      <w:r>
        <w:t>positiv</w:t>
      </w:r>
      <w:proofErr w:type="gramEnd"/>
      <w:r>
        <w:t xml:space="preserve"> Blindprobe in diesem Exper</w:t>
      </w:r>
      <w:r>
        <w:t>i</w:t>
      </w:r>
      <w:r>
        <w:t>ment und Reagenzglas 2 als negativ Blindprobe um zu zeigen, dass der Acetat-Nachweis erst nach der Hydrolyse des Esters positiv ist.</w:t>
      </w:r>
    </w:p>
    <w:p w:rsidR="007A4BE9" w:rsidRDefault="007A4BE9" w:rsidP="007A4BE9">
      <w:pPr>
        <w:ind w:left="2124" w:hanging="2124"/>
      </w:pPr>
      <w:r>
        <w:t>Entsorgung:</w:t>
      </w:r>
      <w:r>
        <w:tab/>
        <w:t>Die Lösungen werden im Schwermetallbehälter entsorgt.</w:t>
      </w:r>
    </w:p>
    <w:p w:rsidR="007A4BE9" w:rsidRPr="002659C7" w:rsidRDefault="007A4BE9" w:rsidP="007A4BE9">
      <w:pPr>
        <w:ind w:left="2124" w:hanging="2124"/>
      </w:pPr>
      <w:r>
        <w:t>Literatur:</w:t>
      </w:r>
      <w:r>
        <w:tab/>
        <w:t xml:space="preserve">E. Irmer, R. Kleinhenn, et. al, </w:t>
      </w:r>
      <w:r w:rsidRPr="00254D76">
        <w:rPr>
          <w:i/>
        </w:rPr>
        <w:t>Elemente Chemie 11/12</w:t>
      </w:r>
      <w:r>
        <w:t>, Klett-Verlag, Stut</w:t>
      </w:r>
      <w:r>
        <w:t>t</w:t>
      </w:r>
      <w:r>
        <w:t>gart, 2010, S.52.</w:t>
      </w:r>
    </w:p>
    <w:p w:rsidR="007A4BE9" w:rsidRDefault="007A4BE9" w:rsidP="007A4BE9">
      <w:pPr>
        <w:ind w:left="2124" w:hanging="2124"/>
      </w:pPr>
      <w:r>
        <w:pict>
          <v:shape id="_x0000_s1026" type="#_x0000_t202" style="width:462.45pt;height:98.4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26">
              <w:txbxContent>
                <w:p w:rsidR="007A4BE9" w:rsidRPr="00F31EBF" w:rsidRDefault="007A4BE9" w:rsidP="007A4BE9">
                  <w:pPr>
                    <w:rPr>
                      <w:color w:val="auto"/>
                    </w:rPr>
                  </w:pPr>
                  <w:r w:rsidRPr="00F31EBF">
                    <w:rPr>
                      <w:b/>
                      <w:color w:val="auto"/>
                    </w:rPr>
                    <w:t xml:space="preserve">Unterrichtsanschlüsse </w:t>
                  </w:r>
                  <w:r>
                    <w:rPr>
                      <w:color w:val="auto"/>
                    </w:rPr>
                    <w:t>Der Versuch eignet sich dazu den Reaktionsmechanismus der alkal</w:t>
                  </w:r>
                  <w:r>
                    <w:rPr>
                      <w:color w:val="auto"/>
                    </w:rPr>
                    <w:t>i</w:t>
                  </w:r>
                  <w:r>
                    <w:rPr>
                      <w:color w:val="auto"/>
                    </w:rPr>
                    <w:t xml:space="preserve">schen </w:t>
                  </w:r>
                  <w:proofErr w:type="spellStart"/>
                  <w:r>
                    <w:rPr>
                      <w:color w:val="auto"/>
                    </w:rPr>
                    <w:t>Esterhydrolyse</w:t>
                  </w:r>
                  <w:proofErr w:type="spellEnd"/>
                  <w:r>
                    <w:rPr>
                      <w:color w:val="auto"/>
                    </w:rPr>
                    <w:t xml:space="preserve"> zu behandeln. Acetat-Ionen werden am Ende des Versuches nachgewi</w:t>
                  </w:r>
                  <w:r>
                    <w:rPr>
                      <w:color w:val="auto"/>
                    </w:rPr>
                    <w:t>e</w:t>
                  </w:r>
                  <w:r>
                    <w:rPr>
                      <w:color w:val="auto"/>
                    </w:rPr>
                    <w:t xml:space="preserve">sen, sowie die Tatsache, dass die Hydroxid-Ionen im Laufe der Reaktion verbraucht werden. Mit diesen Informationen können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versuchen den Mechanismus sowie die anderen Produ</w:t>
                  </w:r>
                  <w:r>
                    <w:rPr>
                      <w:color w:val="auto"/>
                    </w:rPr>
                    <w:t>k</w:t>
                  </w:r>
                  <w:r>
                    <w:rPr>
                      <w:color w:val="auto"/>
                    </w:rPr>
                    <w:t>te der Reaktion aufzuklären.</w:t>
                  </w:r>
                </w:p>
              </w:txbxContent>
            </v:textbox>
            <w10:wrap type="none"/>
            <w10:anchorlock/>
          </v:shape>
        </w:pict>
      </w:r>
    </w:p>
    <w:p w:rsidR="007A4BE9" w:rsidRDefault="007A4BE9" w:rsidP="007A4BE9"/>
    <w:p w:rsidR="00E02EBF" w:rsidRDefault="00133B88"/>
    <w:sectPr w:rsidR="00E02EBF" w:rsidSect="00BA36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4BE9"/>
    <w:rsid w:val="00133B88"/>
    <w:rsid w:val="005B4687"/>
    <w:rsid w:val="00741CFF"/>
    <w:rsid w:val="007A4BE9"/>
    <w:rsid w:val="00BA3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4BE9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A4BE9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A4BE9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A4BE9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4BE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4BE9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4BE9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4BE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4BE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4BE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4BE9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A4BE9"/>
    <w:rPr>
      <w:rFonts w:asciiTheme="majorHAnsi" w:eastAsiaTheme="majorEastAsia" w:hAnsiTheme="majorHAnsi" w:cstheme="majorBidi"/>
      <w:b/>
      <w:bCs/>
      <w:color w:val="1D1B11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A4BE9"/>
    <w:rPr>
      <w:rFonts w:asciiTheme="majorHAnsi" w:eastAsiaTheme="majorEastAsia" w:hAnsiTheme="majorHAnsi" w:cstheme="majorBidi"/>
      <w:b/>
      <w:bCs/>
      <w:i/>
      <w:color w:val="1D1B11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4B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4B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4BE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4B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4BE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4B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7A4BE9"/>
    <w:pPr>
      <w:spacing w:line="240" w:lineRule="auto"/>
    </w:pPr>
    <w:rPr>
      <w:bCs/>
      <w:color w:val="auto"/>
      <w:sz w:val="18"/>
      <w:szCs w:val="18"/>
    </w:rPr>
  </w:style>
  <w:style w:type="table" w:styleId="Tabellengitternetz">
    <w:name w:val="Table Grid"/>
    <w:basedOn w:val="NormaleTabelle"/>
    <w:uiPriority w:val="59"/>
    <w:rsid w:val="007A4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4BE9"/>
    <w:rPr>
      <w:rFonts w:ascii="Tahoma" w:hAnsi="Tahoma" w:cs="Tahoma"/>
      <w:color w:val="1D1B11" w:themeColor="background2" w:themeShade="1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Jannik Nöhles</dc:creator>
  <cp:keywords/>
  <dc:description/>
  <cp:lastModifiedBy>Jannik Nöhles</cp:lastModifiedBy>
  <cp:revision>2</cp:revision>
  <dcterms:created xsi:type="dcterms:W3CDTF">2016-08-09T12:07:00Z</dcterms:created>
  <dcterms:modified xsi:type="dcterms:W3CDTF">2016-08-09T12:07:00Z</dcterms:modified>
</cp:coreProperties>
</file>