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FB" w:rsidRDefault="004E35FB" w:rsidP="004E35FB">
      <w:pPr>
        <w:pStyle w:val="berschrift2"/>
        <w:rPr>
          <w:color w:val="auto"/>
        </w:rPr>
      </w:pPr>
      <w:r w:rsidRPr="00491838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42.4pt;width:462.45pt;height:78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4E35FB" w:rsidRPr="00F31EBF" w:rsidRDefault="004E35FB" w:rsidP="004E35F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die Alltagsrelevanz der Ester als </w:t>
                  </w:r>
                  <w:proofErr w:type="spellStart"/>
                  <w:r>
                    <w:rPr>
                      <w:color w:val="auto"/>
                    </w:rPr>
                    <w:t>Aromastoffe</w:t>
                  </w:r>
                  <w:proofErr w:type="spellEnd"/>
                  <w:r>
                    <w:rPr>
                      <w:color w:val="auto"/>
                    </w:rPr>
                    <w:t xml:space="preserve"> thematisiert. </w:t>
                  </w:r>
                  <w:proofErr w:type="spellStart"/>
                  <w:r>
                    <w:rPr>
                      <w:color w:val="auto"/>
                    </w:rPr>
                    <w:t>Butansäureethylester</w:t>
                  </w:r>
                  <w:proofErr w:type="spellEnd"/>
                  <w:r>
                    <w:rPr>
                      <w:color w:val="auto"/>
                    </w:rPr>
                    <w:t xml:space="preserve"> wird synthetisiert, ein Ester der häufig als Apfelaroma verwendet wird.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die Verbindungsklasse der Ester bereits kennen und das Thema Gleichgewichtsr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aktionen bereits behandelt haben.</w:t>
                  </w:r>
                </w:p>
              </w:txbxContent>
            </v:textbox>
            <w10:wrap type="square"/>
          </v:shape>
        </w:pict>
      </w:r>
      <w:bookmarkStart w:id="0" w:name="_Toc458003204"/>
      <w:r>
        <w:rPr>
          <w:color w:val="auto"/>
        </w:rPr>
        <w:t>V3</w:t>
      </w:r>
      <w:r w:rsidRPr="00CC307A">
        <w:rPr>
          <w:color w:val="auto"/>
        </w:rPr>
        <w:t xml:space="preserve"> – </w:t>
      </w:r>
      <w:r>
        <w:rPr>
          <w:color w:val="auto"/>
        </w:rPr>
        <w:t xml:space="preserve">Synthese von </w:t>
      </w:r>
      <w:proofErr w:type="spellStart"/>
      <w:r>
        <w:rPr>
          <w:color w:val="auto"/>
        </w:rPr>
        <w:t>Butansäureethylester</w:t>
      </w:r>
      <w:bookmarkEnd w:id="0"/>
      <w:proofErr w:type="spellEnd"/>
    </w:p>
    <w:p w:rsidR="004E35FB" w:rsidRDefault="004E35FB" w:rsidP="004E35FB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E35FB" w:rsidRPr="00F31EBF" w:rsidTr="00C11C4C">
        <w:tc>
          <w:tcPr>
            <w:tcW w:w="9322" w:type="dxa"/>
            <w:gridSpan w:val="9"/>
            <w:shd w:val="clear" w:color="auto" w:fill="4F81BD"/>
            <w:vAlign w:val="center"/>
          </w:tcPr>
          <w:p w:rsidR="004E35FB" w:rsidRPr="00F31EBF" w:rsidRDefault="004E35FB" w:rsidP="00C11C4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E35FB" w:rsidRPr="006B1FC4" w:rsidTr="00C11C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4366A0" w:rsidRDefault="004E35FB" w:rsidP="00C11C4C">
            <w:pPr>
              <w:spacing w:after="0" w:line="276" w:lineRule="auto"/>
              <w:jc w:val="center"/>
              <w:rPr>
                <w:color w:val="auto"/>
              </w:rPr>
            </w:pPr>
            <w:r w:rsidRPr="004366A0">
              <w:rPr>
                <w:color w:val="auto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4366A0" w:rsidRDefault="004E35FB" w:rsidP="00C11C4C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H: 225-319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5FB" w:rsidRPr="004366A0" w:rsidRDefault="004E35FB" w:rsidP="00C11C4C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P: 210-240-305+351+338-403+233</w:t>
            </w:r>
          </w:p>
        </w:tc>
      </w:tr>
      <w:tr w:rsidR="004E35FB" w:rsidRPr="006B1FC4" w:rsidTr="00C11C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line="276" w:lineRule="auto"/>
              <w:ind w:right="-180"/>
              <w:jc w:val="center"/>
              <w:rPr>
                <w:rFonts w:asciiTheme="majorHAnsi" w:hAnsiTheme="majorHAnsi"/>
                <w:b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>Buttersäure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line="276" w:lineRule="auto"/>
              <w:jc w:val="center"/>
              <w:rPr>
                <w:rFonts w:asciiTheme="majorHAnsi" w:hAnsiTheme="majorHAnsi"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>H:</w:t>
            </w:r>
            <w:r>
              <w:rPr>
                <w:rFonts w:asciiTheme="majorHAnsi" w:hAnsiTheme="majorHAnsi"/>
                <w:color w:val="auto"/>
              </w:rPr>
              <w:t xml:space="preserve"> 302-</w:t>
            </w:r>
            <w:hyperlink r:id="rId5" w:anchor="H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line="276" w:lineRule="auto"/>
              <w:jc w:val="center"/>
              <w:rPr>
                <w:rFonts w:asciiTheme="majorHAnsi" w:hAnsiTheme="majorHAnsi"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 xml:space="preserve">P: </w:t>
            </w:r>
            <w:r>
              <w:rPr>
                <w:rFonts w:asciiTheme="majorHAnsi" w:hAnsiTheme="majorHAnsi"/>
                <w:color w:val="auto"/>
              </w:rPr>
              <w:t>260-</w:t>
            </w:r>
            <w:hyperlink r:id="rId6" w:anchor="P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280</w:t>
              </w:r>
            </w:hyperlink>
            <w:r w:rsidRPr="00693ED3">
              <w:rPr>
                <w:rFonts w:asciiTheme="majorHAnsi" w:hAnsiTheme="majorHAnsi"/>
                <w:color w:val="auto"/>
              </w:rPr>
              <w:t>-​</w:t>
            </w:r>
            <w:r>
              <w:rPr>
                <w:rFonts w:asciiTheme="majorHAnsi" w:hAnsiTheme="majorHAnsi"/>
              </w:rPr>
              <w:t>301+312+330-303+361+353-304+340+310-305+351+338+310</w:t>
            </w:r>
          </w:p>
        </w:tc>
      </w:tr>
      <w:tr w:rsidR="004E35FB" w:rsidRPr="006B1FC4" w:rsidTr="00C11C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line="276" w:lineRule="auto"/>
              <w:ind w:right="-180"/>
              <w:jc w:val="center"/>
              <w:rPr>
                <w:rFonts w:asciiTheme="majorHAnsi" w:hAnsiTheme="majorHAnsi"/>
                <w:b/>
                <w:color w:val="auto"/>
              </w:rPr>
            </w:pPr>
            <w:proofErr w:type="spellStart"/>
            <w:r w:rsidRPr="00693ED3">
              <w:rPr>
                <w:rFonts w:asciiTheme="majorHAnsi" w:hAnsiTheme="majorHAnsi"/>
                <w:color w:val="auto"/>
              </w:rPr>
              <w:t>Konz</w:t>
            </w:r>
            <w:proofErr w:type="spellEnd"/>
            <w:r w:rsidRPr="00693ED3">
              <w:rPr>
                <w:rFonts w:asciiTheme="majorHAnsi" w:hAnsiTheme="majorHAnsi"/>
                <w:color w:val="auto"/>
              </w:rPr>
              <w:t>. 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line="276" w:lineRule="auto"/>
              <w:jc w:val="center"/>
              <w:rPr>
                <w:rFonts w:asciiTheme="majorHAnsi" w:hAnsiTheme="majorHAnsi"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 xml:space="preserve">H: </w:t>
            </w:r>
            <w:hyperlink r:id="rId7" w:anchor="H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line="276" w:lineRule="auto"/>
              <w:jc w:val="center"/>
              <w:rPr>
                <w:rFonts w:asciiTheme="majorHAnsi" w:hAnsiTheme="majorHAnsi"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 xml:space="preserve">P: </w:t>
            </w:r>
            <w:hyperlink r:id="rId8" w:anchor="P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280</w:t>
              </w:r>
            </w:hyperlink>
            <w:r w:rsidRPr="00693ED3">
              <w:rPr>
                <w:rFonts w:asciiTheme="majorHAnsi" w:hAnsiTheme="majorHAnsi"/>
                <w:color w:val="auto"/>
              </w:rPr>
              <w:t>-​</w:t>
            </w:r>
            <w:hyperlink r:id="rId9" w:anchor="P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301+330+331</w:t>
              </w:r>
            </w:hyperlink>
            <w:r w:rsidRPr="00693ED3">
              <w:rPr>
                <w:rFonts w:asciiTheme="majorHAnsi" w:hAnsiTheme="majorHAnsi"/>
                <w:color w:val="auto"/>
              </w:rPr>
              <w:t>-​</w:t>
            </w:r>
            <w:hyperlink r:id="rId10" w:anchor="P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309</w:t>
              </w:r>
            </w:hyperlink>
            <w:r w:rsidRPr="00693ED3">
              <w:rPr>
                <w:rFonts w:asciiTheme="majorHAnsi" w:hAnsiTheme="majorHAnsi"/>
                <w:color w:val="auto"/>
              </w:rPr>
              <w:t>-​</w:t>
            </w:r>
            <w:hyperlink r:id="rId11" w:anchor="P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310</w:t>
              </w:r>
            </w:hyperlink>
            <w:r w:rsidRPr="00693ED3">
              <w:rPr>
                <w:rFonts w:asciiTheme="majorHAnsi" w:hAnsiTheme="majorHAnsi"/>
                <w:color w:val="auto"/>
              </w:rPr>
              <w:t>-​</w:t>
            </w:r>
            <w:hyperlink r:id="rId12" w:anchor="P-S.C3.A4tze" w:tooltip="H- und P-Sätze" w:history="1">
              <w:r w:rsidRPr="00693ED3">
                <w:rPr>
                  <w:rStyle w:val="Hyperlink"/>
                  <w:rFonts w:asciiTheme="majorHAnsi" w:hAnsiTheme="majorHAnsi"/>
                  <w:color w:val="auto"/>
                </w:rPr>
                <w:t>305+351+338</w:t>
              </w:r>
            </w:hyperlink>
          </w:p>
        </w:tc>
      </w:tr>
      <w:tr w:rsidR="004E35FB" w:rsidRPr="006B1FC4" w:rsidTr="00C11C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after="0" w:line="276" w:lineRule="auto"/>
              <w:jc w:val="center"/>
              <w:rPr>
                <w:rFonts w:asciiTheme="majorHAnsi" w:hAnsiTheme="majorHAnsi"/>
                <w:color w:val="auto"/>
              </w:rPr>
            </w:pPr>
            <w:proofErr w:type="spellStart"/>
            <w:r w:rsidRPr="00693ED3">
              <w:rPr>
                <w:rFonts w:asciiTheme="majorHAnsi" w:hAnsiTheme="majorHAnsi"/>
                <w:color w:val="auto"/>
              </w:rPr>
              <w:t>Butansäureethylester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 xml:space="preserve">H: </w:t>
            </w:r>
            <w:r>
              <w:rPr>
                <w:rFonts w:asciiTheme="majorHAnsi" w:hAnsiTheme="majorHAnsi"/>
                <w:color w:val="auto"/>
              </w:rPr>
              <w:t>226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P: 210-263</w:t>
            </w:r>
          </w:p>
        </w:tc>
      </w:tr>
      <w:tr w:rsidR="004E35FB" w:rsidRPr="00B8258C" w:rsidTr="00C11C4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 xml:space="preserve">Natronlauge (c = 1 </w:t>
            </w:r>
            <w:proofErr w:type="spellStart"/>
            <w:r w:rsidRPr="00693ED3">
              <w:rPr>
                <w:rFonts w:asciiTheme="majorHAnsi" w:hAnsiTheme="majorHAnsi"/>
                <w:color w:val="auto"/>
              </w:rPr>
              <w:t>mol</w:t>
            </w:r>
            <w:proofErr w:type="spellEnd"/>
            <w:r w:rsidRPr="00693ED3">
              <w:rPr>
                <w:rFonts w:asciiTheme="majorHAnsi" w:hAnsiTheme="majorHAnsi"/>
                <w:color w:val="auto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>H: 314, 2990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5FB" w:rsidRPr="00693ED3" w:rsidRDefault="004E35FB" w:rsidP="00C11C4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693ED3">
              <w:rPr>
                <w:rFonts w:asciiTheme="majorHAnsi" w:hAnsiTheme="majorHAnsi"/>
                <w:color w:val="auto"/>
              </w:rPr>
              <w:t xml:space="preserve">P: </w:t>
            </w:r>
            <w:r>
              <w:rPr>
                <w:rFonts w:asciiTheme="majorHAnsi" w:hAnsiTheme="majorHAnsi"/>
                <w:color w:val="auto"/>
              </w:rPr>
              <w:t>280-301+330+331-309+310-</w:t>
            </w:r>
            <w:r w:rsidRPr="00693ED3">
              <w:rPr>
                <w:rFonts w:asciiTheme="majorHAnsi" w:hAnsiTheme="majorHAnsi"/>
                <w:color w:val="auto"/>
              </w:rPr>
              <w:t>305+351+338</w:t>
            </w:r>
          </w:p>
        </w:tc>
      </w:tr>
      <w:tr w:rsidR="004E35FB" w:rsidRPr="009C5E28" w:rsidTr="00C11C4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35FB" w:rsidRPr="009C5E28" w:rsidRDefault="004E35FB" w:rsidP="00C11C4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5FB" w:rsidRDefault="004E35FB" w:rsidP="004E35FB"/>
    <w:p w:rsidR="004E35FB" w:rsidRDefault="004E35FB" w:rsidP="004E35FB">
      <w:pPr>
        <w:ind w:left="2124" w:hanging="2124"/>
      </w:pPr>
      <w:r>
        <w:t>Materialien:</w:t>
      </w:r>
      <w:r>
        <w:tab/>
        <w:t xml:space="preserve">Reagenzglasständer, Gärröhrchen, 2 Bechergläser, </w:t>
      </w:r>
      <w:proofErr w:type="spellStart"/>
      <w:r>
        <w:t>Pasteurpipetten</w:t>
      </w:r>
      <w:proofErr w:type="spellEnd"/>
      <w:r>
        <w:t>, Re</w:t>
      </w:r>
      <w:r>
        <w:t>a</w:t>
      </w:r>
      <w:r>
        <w:t>genzglas, Gasbrenner</w:t>
      </w:r>
    </w:p>
    <w:p w:rsidR="004E35FB" w:rsidRDefault="004E35FB" w:rsidP="004E35FB">
      <w:pPr>
        <w:ind w:left="2124" w:hanging="2124"/>
      </w:pPr>
      <w:r>
        <w:t>Chemikalien:</w:t>
      </w:r>
      <w:r>
        <w:tab/>
        <w:t>Buttersäure, Ethanol, Natronlauge, Schwefelsäure</w:t>
      </w:r>
    </w:p>
    <w:p w:rsidR="004E35FB" w:rsidRDefault="004E35FB" w:rsidP="004E35FB">
      <w:pPr>
        <w:ind w:left="2124" w:hanging="2124"/>
      </w:pPr>
      <w:r>
        <w:t>Durchführung:</w:t>
      </w:r>
      <w:r>
        <w:tab/>
        <w:t>Ein Reagenzglas wird mit 3 </w:t>
      </w:r>
      <w:proofErr w:type="spellStart"/>
      <w:r>
        <w:t>mL</w:t>
      </w:r>
      <w:proofErr w:type="spellEnd"/>
      <w:r>
        <w:t xml:space="preserve"> Ethanol </w:t>
      </w:r>
      <w:proofErr w:type="spellStart"/>
      <w:r>
        <w:t>befüllt</w:t>
      </w:r>
      <w:proofErr w:type="spellEnd"/>
      <w:r>
        <w:t>. Anschließend wird das gleiche Volumen Buttersäure hinzugegeben (Abzug!), sowie etwa 1 </w:t>
      </w:r>
      <w:proofErr w:type="spellStart"/>
      <w:r>
        <w:t>mL</w:t>
      </w:r>
      <w:proofErr w:type="spellEnd"/>
      <w:r>
        <w:t xml:space="preserve"> konzentrierte Schwefelsäure. Auf das Reagenzglas wird ein mit verdün</w:t>
      </w:r>
      <w:r>
        <w:t>n</w:t>
      </w:r>
      <w:r>
        <w:t>ter Natronlauge gefülltes Gärröhrchen gesetzt. Das Gemisch wird a</w:t>
      </w:r>
      <w:r>
        <w:t>n</w:t>
      </w:r>
      <w:r>
        <w:t>schließend vorsichtig über der Brennerflamme erhitzt bis das Gemisch siedet. Dann wird es sofort aus der Flamme genommen. Nachdem im Re</w:t>
      </w:r>
      <w:r>
        <w:t>a</w:t>
      </w:r>
      <w:r>
        <w:t xml:space="preserve">genzglas deutlich zwei Phasen zu erkennen sind wird der Inhalt in ein mit verdünnter Natronlauge gefülltes Becherglas überführt. Von der oberen </w:t>
      </w:r>
      <w:proofErr w:type="spellStart"/>
      <w:r>
        <w:t>Esterschicht</w:t>
      </w:r>
      <w:proofErr w:type="spellEnd"/>
      <w:r>
        <w:t xml:space="preserve"> können dann einige Tropfen auf ein Stück Filterpapier als Geruchsprobe gegeben werden.</w:t>
      </w:r>
    </w:p>
    <w:p w:rsidR="004E35FB" w:rsidRDefault="004E35FB" w:rsidP="004E35FB">
      <w:pPr>
        <w:ind w:left="2124" w:hanging="2124"/>
      </w:pPr>
      <w:r>
        <w:lastRenderedPageBreak/>
        <w:t>Beobachtung:</w:t>
      </w:r>
      <w:r>
        <w:tab/>
        <w:t>Nach dem Sieden sind zwei Phasen im Reagenzglas zu erkennen. Die G</w:t>
      </w:r>
      <w:r>
        <w:t>e</w:t>
      </w:r>
      <w:r>
        <w:t>ruchsprobe riecht künstlich-fruchtig.</w:t>
      </w:r>
    </w:p>
    <w:p w:rsidR="004E35FB" w:rsidRDefault="004E35FB" w:rsidP="004E35FB">
      <w:pPr>
        <w:ind w:left="2124" w:hanging="2124"/>
      </w:pPr>
      <w:r>
        <w:t>Deutung:</w:t>
      </w:r>
      <w:r>
        <w:tab/>
        <w:t>Es findet eine säure-katalysierte Veresterung nach folgendem Mechani</w:t>
      </w:r>
      <w:r>
        <w:t>s</w:t>
      </w:r>
      <w:r>
        <w:t>mus statt:</w:t>
      </w:r>
    </w:p>
    <w:p w:rsidR="004E35FB" w:rsidRDefault="004E35FB" w:rsidP="004E35FB">
      <w:pPr>
        <w:ind w:left="2124" w:hanging="2124"/>
        <w:jc w:val="center"/>
      </w:pPr>
      <w:r w:rsidRPr="009817F1">
        <w:rPr>
          <w:noProof/>
          <w:lang w:eastAsia="de-DE"/>
        </w:rPr>
        <w:drawing>
          <wp:inline distT="0" distB="0" distL="0" distR="0">
            <wp:extent cx="4672075" cy="2909735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annik\Documents\Studium\SVP Chemie\Aktueller Ordner\SVP Chemie\Carbonsäure, Ester und Ether\Sauer Veresterun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75" cy="290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FB" w:rsidRPr="009817F1" w:rsidRDefault="004E35FB" w:rsidP="004E35FB">
      <w:pPr>
        <w:ind w:left="2124" w:hanging="2124"/>
        <w:jc w:val="center"/>
        <w:rPr>
          <w:sz w:val="18"/>
          <w:szCs w:val="18"/>
        </w:rPr>
      </w:pPr>
      <w:r>
        <w:rPr>
          <w:sz w:val="18"/>
          <w:szCs w:val="18"/>
        </w:rPr>
        <w:t>Abb. 7: Mechanismus der säurekatalysierten Veresterung</w:t>
      </w:r>
    </w:p>
    <w:p w:rsidR="004E35FB" w:rsidRDefault="004E35FB" w:rsidP="004E35FB">
      <w:pPr>
        <w:ind w:left="2124" w:firstLine="6"/>
      </w:pPr>
      <w:r>
        <w:t>Die Natronlauge im Gärröhrchen dient hierbei lediglich dazu, die evtl. austretenden Buttersäuredämpfe aufzufangen und zu neutralisieren.</w:t>
      </w:r>
    </w:p>
    <w:p w:rsidR="004E35FB" w:rsidRDefault="004E35FB" w:rsidP="004E35FB">
      <w:pPr>
        <w:ind w:left="2124" w:hanging="2124"/>
      </w:pPr>
      <w:r>
        <w:t>Entsorgung:</w:t>
      </w:r>
      <w:r>
        <w:tab/>
        <w:t>Der Ester wird im Behälter für organische Lösungsmittel entsorgt, die übrige Natronlauge im Säure-Base Behälter</w:t>
      </w:r>
    </w:p>
    <w:p w:rsidR="004E35FB" w:rsidRDefault="004E35FB" w:rsidP="004E35FB">
      <w:pPr>
        <w:ind w:left="2124" w:hanging="2124"/>
      </w:pPr>
      <w:r>
        <w:t>Literatur:</w:t>
      </w:r>
      <w:r>
        <w:tab/>
        <w:t xml:space="preserve">E. Irmer, R. Kleinhenn, et. al, </w:t>
      </w:r>
      <w:r w:rsidRPr="00254D76">
        <w:rPr>
          <w:i/>
        </w:rPr>
        <w:t>Elemente Chemie 11/12</w:t>
      </w:r>
      <w:r>
        <w:t>, Klett-Verlag, Stut</w:t>
      </w:r>
      <w:r>
        <w:t>t</w:t>
      </w:r>
      <w:r>
        <w:t>gart, 2010, S.50.</w:t>
      </w:r>
    </w:p>
    <w:p w:rsidR="004E35FB" w:rsidRDefault="004E35FB" w:rsidP="004E35FB">
      <w:r>
        <w:pict>
          <v:shape id="_x0000_s1026" type="#_x0000_t202" style="width:462.45pt;height:98.4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4E35FB" w:rsidRPr="00F31EBF" w:rsidRDefault="004E35FB" w:rsidP="004E35FB">
                  <w:pPr>
                    <w:rPr>
                      <w:color w:val="auto"/>
                    </w:rPr>
                  </w:pPr>
                  <w:r w:rsidRPr="00F31EBF">
                    <w:rPr>
                      <w:b/>
                      <w:color w:val="auto"/>
                    </w:rPr>
                    <w:t xml:space="preserve">Unterrichtsanschlüsse </w:t>
                  </w:r>
                  <w:r>
                    <w:rPr>
                      <w:color w:val="auto"/>
                    </w:rPr>
                    <w:t xml:space="preserve">An diesem Versuch kann die Verwendung von Estern als </w:t>
                  </w:r>
                  <w:proofErr w:type="spellStart"/>
                  <w:r>
                    <w:rPr>
                      <w:color w:val="auto"/>
                    </w:rPr>
                    <w:t>Aromastoffe</w:t>
                  </w:r>
                  <w:proofErr w:type="spellEnd"/>
                  <w:r>
                    <w:rPr>
                      <w:color w:val="auto"/>
                    </w:rPr>
                    <w:t xml:space="preserve"> behandelt werden. Außerdem kann der Reaktionsmechanismus aufgeklärt und das Thema Gleichgewichtsreaktionen kann aufgegriffen werden. Dieser Versuch funktioniert auch mit anderen Carbonsäure/Alkohol Paaren. Es wird deshalb Buttersäure verwendet, weil der G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ruchsunterschied von der Buttersäure zum Fruchtester sehr deutlich ist.</w:t>
                  </w:r>
                </w:p>
              </w:txbxContent>
            </v:textbox>
            <w10:wrap type="none"/>
            <w10:anchorlock/>
          </v:shape>
        </w:pict>
      </w:r>
    </w:p>
    <w:p w:rsidR="00E02EBF" w:rsidRDefault="005D2435"/>
    <w:sectPr w:rsidR="00E02EBF" w:rsidSect="00BA3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5FB"/>
    <w:rsid w:val="004E35FB"/>
    <w:rsid w:val="005B4687"/>
    <w:rsid w:val="005D2435"/>
    <w:rsid w:val="00741CFF"/>
    <w:rsid w:val="00BA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5F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35F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35F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35F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35F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35F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35F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35F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35F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35F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35F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35F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35F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5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5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5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E35FB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E35F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5F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hyperlink" Target="http://de.wikipedia.org/wiki/H-_und_P-S%C3%A4tz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Nöhles</dc:creator>
  <cp:keywords/>
  <dc:description/>
  <cp:lastModifiedBy>Jannik Nöhles</cp:lastModifiedBy>
  <cp:revision>2</cp:revision>
  <dcterms:created xsi:type="dcterms:W3CDTF">2016-08-09T12:10:00Z</dcterms:created>
  <dcterms:modified xsi:type="dcterms:W3CDTF">2016-08-09T12:10:00Z</dcterms:modified>
</cp:coreProperties>
</file>