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9AB" w:rsidRPr="00CC307A" w:rsidRDefault="00DB49AB" w:rsidP="00DB49AB">
      <w:pPr>
        <w:pStyle w:val="berschrift2"/>
        <w:rPr>
          <w:color w:val="auto"/>
        </w:rPr>
      </w:pPr>
      <w:r>
        <w:rPr>
          <w:noProof/>
          <w:color w:val="auto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.5pt;margin-top:46.15pt;width:462.45pt;height:62.25pt;z-index:251660288;mso-width-relative:margin;mso-height-relative:margin" fillcolor="white [3201]" strokecolor="#4bacc6 [3208]" strokeweight="1pt">
            <v:stroke dashstyle="dash"/>
            <v:shadow color="#868686"/>
            <v:textbox style="mso-next-textbox:#_x0000_s1027">
              <w:txbxContent>
                <w:p w:rsidR="00DB49AB" w:rsidRPr="00F31EBF" w:rsidRDefault="00DB49AB" w:rsidP="00DB49AB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Dieser Versuch dient als Nachweisreaktion für natürliche Carbonsäuren in Lebensmitteln, in diesem Fall Zitronensaft. Die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sollten bereits eine Einführung in die Komplexchemie erha</w:t>
                  </w:r>
                  <w:r>
                    <w:rPr>
                      <w:color w:val="auto"/>
                    </w:rPr>
                    <w:t>l</w:t>
                  </w:r>
                  <w:r>
                    <w:rPr>
                      <w:color w:val="auto"/>
                    </w:rPr>
                    <w:t>ten haben.</w:t>
                  </w:r>
                </w:p>
              </w:txbxContent>
            </v:textbox>
            <w10:wrap type="square"/>
          </v:shape>
        </w:pict>
      </w:r>
      <w:bookmarkStart w:id="0" w:name="_Toc458003205"/>
      <w:r>
        <w:rPr>
          <w:color w:val="auto"/>
        </w:rPr>
        <w:t>V4</w:t>
      </w:r>
      <w:r w:rsidRPr="00CC307A">
        <w:rPr>
          <w:color w:val="auto"/>
        </w:rPr>
        <w:t xml:space="preserve"> – </w:t>
      </w:r>
      <w:r>
        <w:rPr>
          <w:color w:val="auto"/>
        </w:rPr>
        <w:t>Nachweis von Zitronensäure</w:t>
      </w:r>
      <w:bookmarkEnd w:id="0"/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</w:p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DB49AB" w:rsidRPr="009C5E28" w:rsidTr="00C11C4C">
        <w:tc>
          <w:tcPr>
            <w:tcW w:w="9322" w:type="dxa"/>
            <w:gridSpan w:val="9"/>
            <w:shd w:val="clear" w:color="auto" w:fill="4F81BD"/>
            <w:vAlign w:val="center"/>
          </w:tcPr>
          <w:p w:rsidR="00DB49AB" w:rsidRPr="00F31EBF" w:rsidRDefault="00DB49AB" w:rsidP="00C11C4C">
            <w:pPr>
              <w:spacing w:after="0"/>
              <w:jc w:val="center"/>
              <w:rPr>
                <w:b/>
                <w:bCs/>
                <w:color w:val="FFFFFF" w:themeColor="background1"/>
              </w:rPr>
            </w:pPr>
            <w:r w:rsidRPr="00F31EBF">
              <w:rPr>
                <w:b/>
                <w:bCs/>
                <w:color w:val="FFFFFF" w:themeColor="background1"/>
              </w:rPr>
              <w:t>Gefahrenstoffe</w:t>
            </w:r>
          </w:p>
        </w:tc>
      </w:tr>
      <w:tr w:rsidR="00DB49AB" w:rsidRPr="009C5E28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6B1FC4" w:rsidRDefault="00DB49AB" w:rsidP="00C11C4C">
            <w:pPr>
              <w:spacing w:after="0" w:line="276" w:lineRule="auto"/>
              <w:jc w:val="center"/>
              <w:rPr>
                <w:bCs/>
              </w:rPr>
            </w:pPr>
            <w:r>
              <w:rPr>
                <w:color w:val="auto"/>
              </w:rPr>
              <w:t>Ammoniak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6B1FC4" w:rsidRDefault="00DB49AB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6B1FC4">
              <w:rPr>
                <w:sz w:val="22"/>
                <w:szCs w:val="22"/>
              </w:rPr>
              <w:t xml:space="preserve">H: </w:t>
            </w:r>
            <w:r>
              <w:rPr>
                <w:sz w:val="22"/>
                <w:szCs w:val="22"/>
              </w:rPr>
              <w:t>290-314-335-400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B49AB" w:rsidRPr="006B1FC4" w:rsidRDefault="00DB49AB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P: 260-273-280-301</w:t>
            </w:r>
          </w:p>
        </w:tc>
      </w:tr>
      <w:tr w:rsidR="00DB49AB" w:rsidRPr="009C5E28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6B1FC4" w:rsidRDefault="00DB49AB" w:rsidP="00C11C4C">
            <w:pPr>
              <w:spacing w:after="0" w:line="276" w:lineRule="auto"/>
              <w:jc w:val="center"/>
              <w:rPr>
                <w:bCs/>
              </w:rPr>
            </w:pPr>
            <w:proofErr w:type="spellStart"/>
            <w:r w:rsidRPr="006B1FC4">
              <w:rPr>
                <w:color w:val="auto"/>
              </w:rPr>
              <w:t>Calciumchlorid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6B1FC4" w:rsidRDefault="00DB49AB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6B1FC4">
              <w:rPr>
                <w:sz w:val="22"/>
                <w:szCs w:val="22"/>
              </w:rPr>
              <w:t>H: 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B49AB" w:rsidRPr="006B1FC4" w:rsidRDefault="00DB49AB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6B1FC4">
              <w:rPr>
                <w:sz w:val="22"/>
                <w:szCs w:val="22"/>
              </w:rPr>
              <w:t>P: 305+351+338</w:t>
            </w:r>
          </w:p>
        </w:tc>
      </w:tr>
      <w:tr w:rsidR="00DB49AB" w:rsidRPr="009C5E28" w:rsidTr="00C11C4C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B8258C" w:rsidRDefault="00DB49AB" w:rsidP="00C11C4C">
            <w:pPr>
              <w:spacing w:after="0" w:line="276" w:lineRule="auto"/>
              <w:jc w:val="center"/>
              <w:rPr>
                <w:b/>
                <w:bCs/>
              </w:rPr>
            </w:pPr>
            <w:r>
              <w:t>Zitronensäure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B8258C" w:rsidRDefault="00DB49AB" w:rsidP="00C11C4C">
            <w:pPr>
              <w:spacing w:after="0"/>
              <w:jc w:val="center"/>
            </w:pPr>
            <w:r w:rsidRPr="00B8258C">
              <w:t xml:space="preserve">H: </w:t>
            </w:r>
            <w:r>
              <w:t>319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B49AB" w:rsidRPr="00B8258C" w:rsidRDefault="00DB49AB" w:rsidP="00C11C4C">
            <w:pPr>
              <w:spacing w:after="0"/>
              <w:jc w:val="center"/>
            </w:pPr>
            <w:r w:rsidRPr="00B8258C">
              <w:t xml:space="preserve">P: </w:t>
            </w:r>
            <w:r>
              <w:t>305+351+338</w:t>
            </w:r>
          </w:p>
        </w:tc>
      </w:tr>
      <w:tr w:rsidR="00DB49AB" w:rsidRPr="009C5E28" w:rsidTr="00C11C4C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DB49AB" w:rsidRPr="00B8258C" w:rsidRDefault="00DB49AB" w:rsidP="00C11C4C">
            <w:pPr>
              <w:spacing w:after="0" w:line="276" w:lineRule="auto"/>
              <w:jc w:val="center"/>
              <w:rPr>
                <w:bCs/>
              </w:rPr>
            </w:pPr>
            <w:proofErr w:type="spellStart"/>
            <w:r>
              <w:rPr>
                <w:color w:val="auto"/>
              </w:rPr>
              <w:t>Calciumcitrat</w:t>
            </w:r>
            <w:proofErr w:type="spellEnd"/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DB49AB" w:rsidRPr="00B8258C" w:rsidRDefault="00DB49AB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B8258C">
              <w:rPr>
                <w:sz w:val="22"/>
                <w:szCs w:val="22"/>
              </w:rPr>
              <w:t xml:space="preserve">H: </w:t>
            </w:r>
            <w:r>
              <w:rPr>
                <w:sz w:val="22"/>
                <w:szCs w:val="22"/>
              </w:rPr>
              <w:t>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DB49AB" w:rsidRPr="00B8258C" w:rsidRDefault="00DB49AB" w:rsidP="00C11C4C">
            <w:pPr>
              <w:pStyle w:val="Beschriftung"/>
              <w:spacing w:after="0"/>
              <w:jc w:val="center"/>
              <w:rPr>
                <w:sz w:val="22"/>
                <w:szCs w:val="22"/>
              </w:rPr>
            </w:pPr>
            <w:r w:rsidRPr="00B8258C">
              <w:rPr>
                <w:sz w:val="22"/>
                <w:szCs w:val="22"/>
              </w:rPr>
              <w:t xml:space="preserve">P: </w:t>
            </w:r>
            <w:r>
              <w:rPr>
                <w:sz w:val="22"/>
                <w:szCs w:val="22"/>
              </w:rPr>
              <w:t>-</w:t>
            </w:r>
          </w:p>
        </w:tc>
      </w:tr>
      <w:tr w:rsidR="00DB49AB" w:rsidRPr="009C5E28" w:rsidTr="00C11C4C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2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25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39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1175" cy="511175"/>
                  <wp:effectExtent l="19050" t="0" r="3175" b="0"/>
                  <wp:docPr id="46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175" cy="51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DB49AB" w:rsidRPr="009C5E28" w:rsidRDefault="00DB49AB" w:rsidP="00C11C4C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47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color w:val="auto"/>
        </w:rPr>
        <w:t>Materialien: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 xml:space="preserve">Trichter, Filterpapier, Bechergläser, </w:t>
      </w:r>
      <w:proofErr w:type="spellStart"/>
      <w:r>
        <w:rPr>
          <w:color w:val="auto"/>
        </w:rPr>
        <w:t>Magnetrührer</w:t>
      </w:r>
      <w:proofErr w:type="spellEnd"/>
      <w:r>
        <w:rPr>
          <w:color w:val="auto"/>
        </w:rPr>
        <w:t>, Indikatorpapier</w:t>
      </w: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color w:val="auto"/>
        </w:rPr>
        <w:t>Chemikalien:</w:t>
      </w:r>
      <w:r>
        <w:rPr>
          <w:color w:val="auto"/>
        </w:rPr>
        <w:tab/>
      </w:r>
      <w:r>
        <w:rPr>
          <w:color w:val="auto"/>
        </w:rPr>
        <w:tab/>
        <w:t xml:space="preserve">Zitronensaft, </w:t>
      </w:r>
      <w:proofErr w:type="spellStart"/>
      <w:r>
        <w:rPr>
          <w:color w:val="auto"/>
        </w:rPr>
        <w:t>Calciumchlorid</w:t>
      </w:r>
      <w:proofErr w:type="spellEnd"/>
      <w:r>
        <w:rPr>
          <w:color w:val="auto"/>
        </w:rPr>
        <w:t>, Ammoniak</w:t>
      </w: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color w:val="auto"/>
        </w:rPr>
        <w:t>Durchführung:</w:t>
      </w:r>
      <w:r>
        <w:rPr>
          <w:color w:val="auto"/>
        </w:rPr>
        <w:tab/>
      </w:r>
      <w:r>
        <w:rPr>
          <w:color w:val="auto"/>
        </w:rPr>
        <w:tab/>
        <w:t>Der Saft einer Zitrone wird ausgepresst und filtriert. Das Filtrat wird sola</w:t>
      </w:r>
      <w:r>
        <w:rPr>
          <w:color w:val="auto"/>
        </w:rPr>
        <w:t>n</w:t>
      </w:r>
      <w:r>
        <w:rPr>
          <w:color w:val="auto"/>
        </w:rPr>
        <w:t>ge mit Ammoniak versetzt, bis die Lösung leicht alkalisch ist (Indikatorp</w:t>
      </w:r>
      <w:r>
        <w:rPr>
          <w:color w:val="auto"/>
        </w:rPr>
        <w:t>a</w:t>
      </w:r>
      <w:r>
        <w:rPr>
          <w:color w:val="auto"/>
        </w:rPr>
        <w:t xml:space="preserve">pier). Anschließend wird die Lösung mit einigen </w:t>
      </w:r>
      <w:proofErr w:type="spellStart"/>
      <w:r>
        <w:rPr>
          <w:color w:val="auto"/>
        </w:rPr>
        <w:t>Mililitern</w:t>
      </w:r>
      <w:proofErr w:type="spellEnd"/>
      <w:r>
        <w:rPr>
          <w:color w:val="auto"/>
        </w:rPr>
        <w:t xml:space="preserve"> </w:t>
      </w:r>
      <w:proofErr w:type="spellStart"/>
      <w:r>
        <w:rPr>
          <w:color w:val="auto"/>
        </w:rPr>
        <w:t>Calciumchlorid</w:t>
      </w:r>
      <w:proofErr w:type="spellEnd"/>
      <w:r>
        <w:rPr>
          <w:color w:val="auto"/>
        </w:rPr>
        <w:t xml:space="preserve">-Lösung versetzt. Das Gemisch wird solange auf dem </w:t>
      </w:r>
      <w:proofErr w:type="spellStart"/>
      <w:r>
        <w:rPr>
          <w:color w:val="auto"/>
        </w:rPr>
        <w:t>Magnetrührer</w:t>
      </w:r>
      <w:proofErr w:type="spellEnd"/>
      <w:r>
        <w:rPr>
          <w:color w:val="auto"/>
        </w:rPr>
        <w:t xml:space="preserve"> erhitzt bis ein weißer Feststoff ausfällt. Der Feststoff kann im </w:t>
      </w:r>
      <w:proofErr w:type="spellStart"/>
      <w:r>
        <w:rPr>
          <w:color w:val="auto"/>
        </w:rPr>
        <w:t>Anschluß</w:t>
      </w:r>
      <w:proofErr w:type="spellEnd"/>
      <w:r>
        <w:rPr>
          <w:color w:val="auto"/>
        </w:rPr>
        <w:t xml:space="preserve"> noch </w:t>
      </w:r>
      <w:proofErr w:type="spellStart"/>
      <w:r>
        <w:rPr>
          <w:color w:val="auto"/>
        </w:rPr>
        <w:t>abfiltriert</w:t>
      </w:r>
      <w:proofErr w:type="spellEnd"/>
      <w:r>
        <w:rPr>
          <w:color w:val="auto"/>
        </w:rPr>
        <w:t xml:space="preserve"> und getrocknet werden. Als Blindprobe kann analog zu dieser Durchführung der Versuch noch zusätzlich mit einer Zitronensäure-Lösung durchgeführt werden.</w:t>
      </w: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color w:val="auto"/>
        </w:rPr>
        <w:t>Beobachtung:</w:t>
      </w:r>
      <w:r>
        <w:rPr>
          <w:color w:val="auto"/>
        </w:rPr>
        <w:tab/>
      </w:r>
      <w:r>
        <w:rPr>
          <w:color w:val="auto"/>
        </w:rPr>
        <w:tab/>
        <w:t>Während des Erhitzens bildet sich ein weißer Niederschlag im Becherglas mit dem Zitronensaft.</w:t>
      </w: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noProof/>
          <w:color w:val="auto"/>
          <w:lang w:eastAsia="de-DE"/>
        </w:rPr>
        <w:lastRenderedPageBreak/>
        <w:drawing>
          <wp:inline distT="0" distB="0" distL="0" distR="0">
            <wp:extent cx="2743200" cy="3011657"/>
            <wp:effectExtent l="19050" t="0" r="0" b="0"/>
            <wp:docPr id="48" name="Bild 10" descr="C:\Users\Kasperle\Desktop\SVP\SVP Chemie\Carbonsäure, Ester und Ether\Zitrone vor schn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asperle\Desktop\SVP\SVP Chemie\Carbonsäure, Ester und Ether\Zitrone vor schnit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48" cy="30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439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color w:val="auto"/>
          <w:lang w:eastAsia="de-DE"/>
        </w:rPr>
        <w:drawing>
          <wp:inline distT="0" distB="0" distL="0" distR="0">
            <wp:extent cx="2832075" cy="3019425"/>
            <wp:effectExtent l="19050" t="0" r="6375" b="0"/>
            <wp:docPr id="53" name="Bild 11" descr="C:\Users\Kasperle\Desktop\SVP\SVP Chemie\Carbonsäure, Ester und Ether\Zitrone nach schnit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sperle\Desktop\SVP\SVP Chemie\Carbonsäure, Ester und Ether\Zitrone nach schnitt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139" cy="3018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49AB" w:rsidRPr="00604395" w:rsidRDefault="00DB49AB" w:rsidP="00DB49AB">
      <w:pPr>
        <w:tabs>
          <w:tab w:val="left" w:pos="1701"/>
          <w:tab w:val="left" w:pos="1985"/>
        </w:tabs>
        <w:ind w:left="1980" w:hanging="1980"/>
        <w:jc w:val="center"/>
        <w:rPr>
          <w:color w:val="auto"/>
          <w:sz w:val="18"/>
          <w:szCs w:val="18"/>
        </w:rPr>
      </w:pPr>
      <w:r>
        <w:rPr>
          <w:color w:val="auto"/>
          <w:sz w:val="18"/>
          <w:szCs w:val="18"/>
        </w:rPr>
        <w:t xml:space="preserve">Abb. 8: Zitronensaft mit Ammoniak und </w:t>
      </w:r>
      <w:proofErr w:type="spellStart"/>
      <w:r>
        <w:rPr>
          <w:color w:val="auto"/>
          <w:sz w:val="18"/>
          <w:szCs w:val="18"/>
        </w:rPr>
        <w:t>Calciumchlorid</w:t>
      </w:r>
      <w:proofErr w:type="spellEnd"/>
      <w:r>
        <w:rPr>
          <w:color w:val="auto"/>
          <w:sz w:val="18"/>
          <w:szCs w:val="18"/>
        </w:rPr>
        <w:t xml:space="preserve"> vor dem erhitzen (links) und nach dem erhitzen (rechts)</w:t>
      </w: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w:r>
        <w:rPr>
          <w:color w:val="auto"/>
        </w:rPr>
        <w:t>Deutung:</w:t>
      </w:r>
      <w:r>
        <w:rPr>
          <w:color w:val="auto"/>
        </w:rPr>
        <w:tab/>
      </w:r>
      <w:r>
        <w:rPr>
          <w:color w:val="auto"/>
        </w:rPr>
        <w:tab/>
        <w:t xml:space="preserve">Bei dem Niederschlag handelt es sich um schwer lösliches </w:t>
      </w:r>
      <w:proofErr w:type="spellStart"/>
      <w:r>
        <w:rPr>
          <w:color w:val="auto"/>
        </w:rPr>
        <w:t>Tricalciumcitrat</w:t>
      </w:r>
      <w:proofErr w:type="spellEnd"/>
      <w:r>
        <w:rPr>
          <w:color w:val="auto"/>
        </w:rPr>
        <w:t>. Zitronensäure ist eine drei</w:t>
      </w:r>
      <w:bookmarkStart w:id="1" w:name="_GoBack"/>
      <w:bookmarkEnd w:id="1"/>
      <w:r>
        <w:rPr>
          <w:color w:val="auto"/>
        </w:rPr>
        <w:t>protonige Carbonsäure. Die Zugabe von Amm</w:t>
      </w:r>
      <w:r>
        <w:rPr>
          <w:color w:val="auto"/>
        </w:rPr>
        <w:t>o</w:t>
      </w:r>
      <w:r>
        <w:rPr>
          <w:color w:val="auto"/>
        </w:rPr>
        <w:t xml:space="preserve">niak stellt sicher, dass die Zitronensäuremoleküle komplett </w:t>
      </w:r>
      <w:proofErr w:type="spellStart"/>
      <w:r>
        <w:rPr>
          <w:color w:val="auto"/>
        </w:rPr>
        <w:t>deprotoniert</w:t>
      </w:r>
      <w:proofErr w:type="spellEnd"/>
      <w:r>
        <w:rPr>
          <w:color w:val="auto"/>
        </w:rPr>
        <w:t xml:space="preserve"> vorliegen. Bei Raumtemperatur bilden die Calcium- und Citrat-Ionen einen wasserlöslichen Citrat-Komplex.</w:t>
      </w:r>
    </w:p>
    <w:p w:rsidR="00DB49AB" w:rsidRPr="00F31EBF" w:rsidRDefault="00DB49AB" w:rsidP="00DB49AB">
      <w:pPr>
        <w:tabs>
          <w:tab w:val="left" w:pos="1701"/>
          <w:tab w:val="left" w:pos="1985"/>
        </w:tabs>
        <w:ind w:left="1980" w:hanging="1980"/>
        <w:rPr>
          <w:color w:val="auto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Ca</m:t>
              </m:r>
            </m:e>
            <m:sub>
              <m:r>
                <w:rPr>
                  <w:rFonts w:ascii="Cambria Math" w:hAnsi="Cambria Math"/>
                  <w:color w:val="auto"/>
                </w:rPr>
                <m:t>(aq)</m:t>
              </m:r>
            </m:sub>
            <m:sup>
              <m:r>
                <w:rPr>
                  <w:rFonts w:ascii="Cambria Math" w:hAnsi="Cambria Math"/>
                  <w:color w:val="auto"/>
                </w:rPr>
                <m:t>2+</m:t>
              </m:r>
            </m:sup>
          </m:sSubSup>
          <m:r>
            <w:rPr>
              <w:rFonts w:ascii="Cambria Math" w:hAnsi="Cambria Math"/>
              <w:color w:val="auto"/>
            </w:rPr>
            <m:t xml:space="preserve">+ </m:t>
          </m:r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2 Cit</m:t>
              </m:r>
            </m:e>
            <m:sub>
              <m:r>
                <w:rPr>
                  <w:rFonts w:ascii="Cambria Math" w:hAnsi="Cambria Math"/>
                  <w:color w:val="auto"/>
                </w:rPr>
                <m:t>(aq)</m:t>
              </m:r>
            </m:sub>
            <m:sup>
              <m:r>
                <w:rPr>
                  <w:rFonts w:ascii="Cambria Math" w:hAnsi="Cambria Math"/>
                  <w:color w:val="auto"/>
                </w:rPr>
                <m:t>3-</m:t>
              </m:r>
            </m:sup>
          </m:sSubSup>
          <m:r>
            <w:rPr>
              <w:rFonts w:ascii="Cambria Math" w:hAnsi="Cambria Math"/>
              <w:color w:val="auto"/>
            </w:rPr>
            <m:t xml:space="preserve">→ </m:t>
          </m:r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[Ca(Cit)</m:t>
              </m:r>
            </m:e>
            <m:sub>
              <m:r>
                <w:rPr>
                  <w:rFonts w:ascii="Cambria Math" w:hAnsi="Cambria Math"/>
                  <w:color w:val="auto"/>
                </w:rPr>
                <m:t>2</m:t>
              </m:r>
            </m:sub>
            <m:sup/>
          </m:sSubSup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]</m:t>
              </m:r>
            </m:e>
            <m:sub>
              <m:r>
                <w:rPr>
                  <w:rFonts w:ascii="Cambria Math" w:hAnsi="Cambria Math"/>
                  <w:color w:val="auto"/>
                </w:rPr>
                <m:t>(aq)</m:t>
              </m:r>
            </m:sub>
            <m:sup>
              <m:r>
                <w:rPr>
                  <w:rFonts w:ascii="Cambria Math" w:hAnsi="Cambria Math"/>
                  <w:color w:val="auto"/>
                </w:rPr>
                <m:t>4-</m:t>
              </m:r>
            </m:sup>
          </m:sSubSup>
        </m:oMath>
      </m:oMathPara>
    </w:p>
    <w:p w:rsidR="00DB49AB" w:rsidRPr="00544266" w:rsidRDefault="00DB49AB" w:rsidP="00DB49AB">
      <w:pPr>
        <w:tabs>
          <w:tab w:val="left" w:pos="1701"/>
          <w:tab w:val="left" w:pos="1985"/>
        </w:tabs>
        <w:ind w:left="1980" w:hanging="1980"/>
        <w:rPr>
          <w:color w:val="000000" w:themeColor="text1"/>
        </w:rPr>
      </w:pPr>
      <w:r>
        <w:rPr>
          <w:color w:val="1F497D" w:themeColor="text2"/>
        </w:rPr>
        <w:tab/>
      </w:r>
      <w:r>
        <w:rPr>
          <w:color w:val="1F497D" w:themeColor="text2"/>
        </w:rPr>
        <w:tab/>
      </w:r>
      <w:r>
        <w:rPr>
          <w:color w:val="000000" w:themeColor="text1"/>
        </w:rPr>
        <w:t xml:space="preserve">Durch Erhitzen und einen Überschuss an Calcium-Ionen bildet sich dann das schwerlösliche </w:t>
      </w:r>
      <w:proofErr w:type="spellStart"/>
      <w:r>
        <w:rPr>
          <w:color w:val="000000" w:themeColor="text1"/>
        </w:rPr>
        <w:t>Tricalciumcitrat</w:t>
      </w:r>
      <w:proofErr w:type="spellEnd"/>
      <w:r>
        <w:rPr>
          <w:color w:val="000000" w:themeColor="text1"/>
        </w:rPr>
        <w:t xml:space="preserve">. </w:t>
      </w:r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rFonts w:eastAsiaTheme="minorEastAsia"/>
          <w:color w:val="auto"/>
        </w:rPr>
      </w:pPr>
      <m:oMathPara>
        <m:oMath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[Ca(Cit)</m:t>
              </m:r>
            </m:e>
            <m:sub>
              <m:r>
                <w:rPr>
                  <w:rFonts w:ascii="Cambria Math" w:hAnsi="Cambria Math"/>
                  <w:color w:val="auto"/>
                </w:rPr>
                <m:t>2</m:t>
              </m:r>
            </m:sub>
            <m:sup/>
          </m:sSubSup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]</m:t>
              </m:r>
            </m:e>
            <m:sub>
              <m:r>
                <w:rPr>
                  <w:rFonts w:ascii="Cambria Math" w:hAnsi="Cambria Math"/>
                  <w:color w:val="auto"/>
                </w:rPr>
                <m:t>(aq)</m:t>
              </m:r>
            </m:sub>
            <m:sup>
              <m:r>
                <w:rPr>
                  <w:rFonts w:ascii="Cambria Math" w:hAnsi="Cambria Math"/>
                  <w:color w:val="auto"/>
                </w:rPr>
                <m:t>4-</m:t>
              </m:r>
            </m:sup>
          </m:sSubSup>
          <m:r>
            <w:rPr>
              <w:rFonts w:ascii="Cambria Math" w:hAnsi="Cambria Math"/>
              <w:color w:val="auto"/>
            </w:rPr>
            <m:t xml:space="preserve">+ </m:t>
          </m:r>
          <m:sSubSup>
            <m:sSubSupPr>
              <m:ctrlPr>
                <w:rPr>
                  <w:rFonts w:ascii="Cambria Math" w:hAnsi="Cambria Math"/>
                  <w:i/>
                  <w:color w:val="auto"/>
                </w:rPr>
              </m:ctrlPr>
            </m:sSubSupPr>
            <m:e>
              <m:r>
                <w:rPr>
                  <w:rFonts w:ascii="Cambria Math" w:hAnsi="Cambria Math"/>
                  <w:color w:val="auto"/>
                </w:rPr>
                <m:t>2 Ca</m:t>
              </m:r>
            </m:e>
            <m:sub>
              <m:r>
                <w:rPr>
                  <w:rFonts w:ascii="Cambria Math" w:hAnsi="Cambria Math"/>
                  <w:color w:val="auto"/>
                </w:rPr>
                <m:t>(aq)</m:t>
              </m:r>
            </m:sub>
            <m:sup>
              <m:r>
                <w:rPr>
                  <w:rFonts w:ascii="Cambria Math" w:hAnsi="Cambria Math"/>
                  <w:color w:val="auto"/>
                </w:rPr>
                <m:t>2+</m:t>
              </m:r>
            </m:sup>
          </m:sSubSup>
          <m:r>
            <w:rPr>
              <w:rFonts w:ascii="Cambria Math" w:hAnsi="Cambria Math"/>
              <w:color w:val="auto"/>
            </w:rPr>
            <m:t xml:space="preserve">→ </m:t>
          </m:r>
          <m:sSub>
            <m:sSubPr>
              <m:ctrlPr>
                <w:rPr>
                  <w:rFonts w:ascii="Cambria Math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hAnsi="Cambria Math"/>
                  <w:color w:val="auto"/>
                </w:rPr>
                <m:t>Ca</m:t>
              </m:r>
            </m:e>
            <m:sub>
              <m:r>
                <w:rPr>
                  <w:rFonts w:ascii="Cambria Math" w:hAnsi="Cambria Math"/>
                  <w:color w:val="auto"/>
                </w:rPr>
                <m:t>3</m:t>
              </m:r>
            </m:sub>
          </m:sSub>
          <m:sSub>
            <m:sSubPr>
              <m:ctrlPr>
                <w:rPr>
                  <w:rFonts w:ascii="Cambria Math" w:eastAsiaTheme="minorEastAsia" w:hAnsi="Cambria Math"/>
                  <w:i/>
                  <w:color w:val="auto"/>
                </w:rPr>
              </m:ctrlPr>
            </m:sSubPr>
            <m:e>
              <m:r>
                <w:rPr>
                  <w:rFonts w:ascii="Cambria Math" w:eastAsiaTheme="minorEastAsia" w:hAnsi="Cambria Math"/>
                  <w:color w:val="auto"/>
                </w:rPr>
                <m:t>(Cit)</m:t>
              </m:r>
            </m:e>
            <m:sub>
              <m:r>
                <w:rPr>
                  <w:rFonts w:ascii="Cambria Math" w:eastAsiaTheme="minorEastAsia" w:hAnsi="Cambria Math"/>
                  <w:color w:val="auto"/>
                </w:rPr>
                <m:t>2 (s)</m:t>
              </m:r>
            </m:sub>
          </m:sSub>
        </m:oMath>
      </m:oMathPara>
    </w:p>
    <w:p w:rsidR="00DB49AB" w:rsidRDefault="00DB49AB" w:rsidP="00DB49AB">
      <w:pPr>
        <w:tabs>
          <w:tab w:val="left" w:pos="1701"/>
          <w:tab w:val="left" w:pos="1985"/>
        </w:tabs>
        <w:ind w:left="1980" w:hanging="1980"/>
        <w:rPr>
          <w:color w:val="000000" w:themeColor="text1"/>
        </w:rPr>
      </w:pPr>
      <w:r>
        <w:rPr>
          <w:color w:val="000000" w:themeColor="text1"/>
        </w:rPr>
        <w:t>Entsorgung: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Das getrocknete </w:t>
      </w:r>
      <w:proofErr w:type="spellStart"/>
      <w:r>
        <w:rPr>
          <w:color w:val="000000" w:themeColor="text1"/>
        </w:rPr>
        <w:t>Tricalciumcitrat</w:t>
      </w:r>
      <w:proofErr w:type="spellEnd"/>
      <w:r>
        <w:rPr>
          <w:color w:val="000000" w:themeColor="text1"/>
        </w:rPr>
        <w:t xml:space="preserve"> kann im Feststoffabfall entsorgt werden. Die verbliebene Lösung im Säure-Base Behälter.</w:t>
      </w:r>
    </w:p>
    <w:p w:rsidR="00DB49AB" w:rsidRPr="00544266" w:rsidRDefault="00DB49AB" w:rsidP="00DB49AB">
      <w:pPr>
        <w:tabs>
          <w:tab w:val="left" w:pos="1701"/>
          <w:tab w:val="left" w:pos="1985"/>
        </w:tabs>
        <w:ind w:left="1980" w:hanging="1980"/>
        <w:rPr>
          <w:color w:val="000000" w:themeColor="text1"/>
        </w:rPr>
      </w:pPr>
      <w:r>
        <w:rPr>
          <w:color w:val="000000" w:themeColor="text1"/>
        </w:rPr>
        <w:t>Literatur: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Kuhn, I. </w:t>
      </w:r>
      <w:r w:rsidRPr="00544266">
        <w:rPr>
          <w:color w:val="000000" w:themeColor="text1"/>
        </w:rPr>
        <w:t>http://www.chids.de/dachs/praktikumsprotokolle/PP0055Nach</w:t>
      </w:r>
      <w:r>
        <w:rPr>
          <w:color w:val="000000" w:themeColor="text1"/>
        </w:rPr>
        <w:t xml:space="preserve"> </w:t>
      </w:r>
      <w:r w:rsidRPr="00544266">
        <w:rPr>
          <w:color w:val="000000" w:themeColor="text1"/>
        </w:rPr>
        <w:t>weis_von_Carbonsaeuren.pdf</w:t>
      </w:r>
      <w:r>
        <w:rPr>
          <w:color w:val="000000" w:themeColor="text1"/>
        </w:rPr>
        <w:t xml:space="preserve"> (Zuletzt abgerufen am 03.08.2016)</w:t>
      </w:r>
    </w:p>
    <w:p w:rsidR="00E02EBF" w:rsidRDefault="00DB49AB" w:rsidP="00DB49AB">
      <w:r w:rsidRPr="00491838">
        <w:pict>
          <v:shape id="_x0000_s1026" type="#_x0000_t202" style="width:462.45pt;height:66.15pt;mso-position-horizontal-relative:char;mso-position-vertical-relative:line;mso-width-relative:margin;mso-height-relative:margin" fillcolor="white [3201]" strokecolor="#c0504d [3205]" strokeweight="1pt">
            <v:stroke dashstyle="dash"/>
            <v:shadow color="#868686"/>
            <v:textbox style="mso-next-textbox:#_x0000_s1026">
              <w:txbxContent>
                <w:p w:rsidR="00DB49AB" w:rsidRPr="00F31EBF" w:rsidRDefault="00DB49AB" w:rsidP="00DB49AB">
                  <w:pPr>
                    <w:rPr>
                      <w:color w:val="auto"/>
                    </w:rPr>
                  </w:pPr>
                  <w:r w:rsidRPr="00F31EBF">
                    <w:rPr>
                      <w:b/>
                      <w:color w:val="auto"/>
                    </w:rPr>
                    <w:t xml:space="preserve">Unterrichtsanschlüsse </w:t>
                  </w:r>
                  <w:r>
                    <w:rPr>
                      <w:color w:val="auto"/>
                    </w:rPr>
                    <w:t xml:space="preserve">Dieser Versuch kann als Einführung in das Thema der Carbonsäuren fungieren.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können anhand des Versuches sehen, dass Carbonsäuren sie im Alltag umgeben. Neben Zitronen können auch andere Lebensmittel auf Zitronensäure getestet werden. </w:t>
                  </w:r>
                </w:p>
              </w:txbxContent>
            </v:textbox>
            <w10:wrap type="none"/>
            <w10:anchorlock/>
          </v:shape>
        </w:pict>
      </w:r>
    </w:p>
    <w:sectPr w:rsidR="00E02EBF" w:rsidSect="00BA36F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2180"/>
    <w:multiLevelType w:val="multilevel"/>
    <w:tmpl w:val="CA18A6E2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B49AB"/>
    <w:rsid w:val="005B4687"/>
    <w:rsid w:val="00741CFF"/>
    <w:rsid w:val="00BA36F9"/>
    <w:rsid w:val="00D74DE8"/>
    <w:rsid w:val="00DB49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B49AB"/>
    <w:pPr>
      <w:spacing w:line="360" w:lineRule="auto"/>
      <w:jc w:val="both"/>
    </w:pPr>
    <w:rPr>
      <w:rFonts w:ascii="Cambria" w:hAnsi="Cambria"/>
      <w:color w:val="1D1B11" w:themeColor="background2" w:themeShade="1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B49AB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B49AB"/>
    <w:pPr>
      <w:keepNext/>
      <w:keepLines/>
      <w:numPr>
        <w:ilvl w:val="1"/>
        <w:numId w:val="1"/>
      </w:numPr>
      <w:spacing w:before="200"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DB49AB"/>
    <w:pPr>
      <w:keepNext/>
      <w:keepLines/>
      <w:numPr>
        <w:ilvl w:val="2"/>
        <w:numId w:val="1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i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B49A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B49A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B49A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B49A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B49A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B49A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B49AB"/>
    <w:rPr>
      <w:rFonts w:asciiTheme="majorHAnsi" w:eastAsiaTheme="majorEastAsia" w:hAnsiTheme="majorHAnsi" w:cstheme="majorBidi"/>
      <w:b/>
      <w:bCs/>
      <w:color w:val="1D1B11" w:themeColor="background2" w:themeShade="1A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B49AB"/>
    <w:rPr>
      <w:rFonts w:asciiTheme="majorHAnsi" w:eastAsiaTheme="majorEastAsia" w:hAnsiTheme="majorHAnsi" w:cstheme="majorBidi"/>
      <w:b/>
      <w:bCs/>
      <w:color w:val="1D1B11" w:themeColor="background2" w:themeShade="1A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DB49AB"/>
    <w:rPr>
      <w:rFonts w:asciiTheme="majorHAnsi" w:eastAsiaTheme="majorEastAsia" w:hAnsiTheme="majorHAnsi" w:cstheme="majorBidi"/>
      <w:b/>
      <w:bCs/>
      <w:i/>
      <w:color w:val="1D1B11" w:themeColor="background2" w:themeShade="1A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B49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B49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B49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B49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B49A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B49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DB49AB"/>
    <w:pPr>
      <w:spacing w:line="240" w:lineRule="auto"/>
    </w:pPr>
    <w:rPr>
      <w:bCs/>
      <w:color w:val="auto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B4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B49AB"/>
    <w:rPr>
      <w:rFonts w:ascii="Tahoma" w:hAnsi="Tahoma" w:cs="Tahoma"/>
      <w:color w:val="1D1B11" w:themeColor="background2" w:themeShade="1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276</Words>
  <Characters>1743</Characters>
  <Application>Microsoft Office Word</Application>
  <DocSecurity>0</DocSecurity>
  <Lines>14</Lines>
  <Paragraphs>4</Paragraphs>
  <ScaleCrop>false</ScaleCrop>
  <Company/>
  <LinksUpToDate>false</LinksUpToDate>
  <CharactersWithSpaces>2015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Jannik Nöhles</dc:creator>
  <cp:keywords/>
  <dc:description/>
  <cp:lastModifiedBy>Jannik Nöhles</cp:lastModifiedBy>
  <cp:revision>2</cp:revision>
  <dcterms:created xsi:type="dcterms:W3CDTF">2016-08-09T12:13:00Z</dcterms:created>
  <dcterms:modified xsi:type="dcterms:W3CDTF">2016-08-09T12:13:00Z</dcterms:modified>
</cp:coreProperties>
</file>