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2A" w:rsidRPr="00CC307A" w:rsidRDefault="00DE532A" w:rsidP="00DE532A">
      <w:pPr>
        <w:pStyle w:val="berschrift2"/>
        <w:numPr>
          <w:ilvl w:val="0"/>
          <w:numId w:val="0"/>
        </w:numPr>
        <w:rPr>
          <w:color w:val="auto"/>
        </w:rPr>
      </w:pPr>
      <w:bookmarkStart w:id="0" w:name="_Toc458101939"/>
      <w:r>
        <w:rPr>
          <w:noProof/>
          <w:lang w:eastAsia="de-DE"/>
        </w:rPr>
        <mc:AlternateContent>
          <mc:Choice Requires="wps">
            <w:drawing>
              <wp:anchor distT="0" distB="0" distL="114300" distR="114300" simplePos="0" relativeHeight="251659264" behindDoc="0" locked="0" layoutInCell="1" allowOverlap="1" wp14:anchorId="554ACE6C" wp14:editId="31DDDF00">
                <wp:simplePos x="0" y="0"/>
                <wp:positionH relativeFrom="column">
                  <wp:posOffset>-58420</wp:posOffset>
                </wp:positionH>
                <wp:positionV relativeFrom="paragraph">
                  <wp:posOffset>454660</wp:posOffset>
                </wp:positionV>
                <wp:extent cx="5873115" cy="1040765"/>
                <wp:effectExtent l="0" t="0" r="13335" b="26035"/>
                <wp:wrapSquare wrapText="bothSides"/>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07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532A" w:rsidRDefault="00DE532A" w:rsidP="00DE532A">
                            <w:pPr>
                              <w:spacing w:after="0"/>
                              <w:rPr>
                                <w:color w:val="auto"/>
                              </w:rPr>
                            </w:pPr>
                            <w:r>
                              <w:rPr>
                                <w:color w:val="auto"/>
                              </w:rPr>
                              <w:t xml:space="preserve">In diesem Versuch werden die Einflussfaktoren der Konzentration und des Zerteilungsgrades auf die Reaktionsgeschwindigkeit chemischer Reaktionen betrachtet. Die Schülerinnen und Schüler benötigen zur Aufstellung der Reaktionsgleichung Vorwissen aus dem Bereich der </w:t>
                            </w:r>
                            <w:proofErr w:type="spellStart"/>
                            <w:r>
                              <w:rPr>
                                <w:color w:val="auto"/>
                              </w:rPr>
                              <w:t>Redoxchemie</w:t>
                            </w:r>
                            <w:proofErr w:type="spellEnd"/>
                            <w:r>
                              <w:rPr>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4ACE6C" id="_x0000_t202" coordsize="21600,21600" o:spt="202" path="m,l,21600r21600,l21600,xe">
                <v:stroke joinstyle="miter"/>
                <v:path gradientshapeok="t" o:connecttype="rect"/>
              </v:shapetype>
              <v:shape id="Text Box 60" o:spid="_x0000_s1026" type="#_x0000_t202" style="position:absolute;left:0;text-align:left;margin-left:-4.6pt;margin-top:35.8pt;width:462.45pt;height:8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P97gIAACw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" fillcolor="white [3201]" strokecolor="#4472c4 [3208]" strokeweight="1pt">
                <v:stroke dashstyle="dash"/>
                <v:shadow color="#868686"/>
                <v:textbox>
                  <w:txbxContent>
                    <w:p w:rsidR="00DE532A" w:rsidRDefault="00DE532A" w:rsidP="00DE532A">
                      <w:pPr>
                        <w:spacing w:after="0"/>
                        <w:rPr>
                          <w:color w:val="auto"/>
                        </w:rPr>
                      </w:pPr>
                      <w:r>
                        <w:rPr>
                          <w:color w:val="auto"/>
                        </w:rPr>
                        <w:t xml:space="preserve">In diesem Versuch werden die Einflussfaktoren der Konzentration und des Zerteilungsgrades auf die Reaktionsgeschwindigkeit chemischer Reaktionen betrachtet. Die Schülerinnen und Schüler benötigen zur Aufstellung der Reaktionsgleichung Vorwissen aus dem Bereich der </w:t>
                      </w:r>
                      <w:proofErr w:type="spellStart"/>
                      <w:r>
                        <w:rPr>
                          <w:color w:val="auto"/>
                        </w:rPr>
                        <w:t>Redoxchemie</w:t>
                      </w:r>
                      <w:proofErr w:type="spellEnd"/>
                      <w:r>
                        <w:rPr>
                          <w:color w:val="auto"/>
                        </w:rPr>
                        <w:t>.</w:t>
                      </w:r>
                    </w:p>
                  </w:txbxContent>
                </v:textbox>
                <w10:wrap type="square"/>
              </v:shape>
            </w:pict>
          </mc:Fallback>
        </mc:AlternateContent>
      </w:r>
      <w:r w:rsidRPr="00CC307A">
        <w:rPr>
          <w:color w:val="auto"/>
        </w:rPr>
        <w:t xml:space="preserve">V1 </w:t>
      </w:r>
      <w:bookmarkStart w:id="1" w:name="_GoBack"/>
      <w:bookmarkEnd w:id="1"/>
      <w:r w:rsidRPr="00CC307A">
        <w:rPr>
          <w:color w:val="auto"/>
        </w:rPr>
        <w:t xml:space="preserve">– </w:t>
      </w:r>
      <w:r>
        <w:rPr>
          <w:color w:val="auto"/>
        </w:rPr>
        <w:t>Alles nur oberflächlich</w:t>
      </w:r>
      <w:bookmarkEnd w:id="0"/>
    </w:p>
    <w:p w:rsidR="00DE532A" w:rsidRDefault="00DE532A" w:rsidP="00DE532A"/>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E532A" w:rsidRPr="009C5E28" w:rsidTr="00527E73">
        <w:tc>
          <w:tcPr>
            <w:tcW w:w="9322" w:type="dxa"/>
            <w:gridSpan w:val="9"/>
            <w:shd w:val="clear" w:color="auto" w:fill="4F81BD"/>
            <w:vAlign w:val="center"/>
          </w:tcPr>
          <w:p w:rsidR="00DE532A" w:rsidRPr="00F31EBF" w:rsidRDefault="00DE532A" w:rsidP="00527E73">
            <w:pPr>
              <w:spacing w:after="0"/>
              <w:jc w:val="center"/>
              <w:rPr>
                <w:b/>
                <w:bCs/>
                <w:color w:val="FFFFFF" w:themeColor="background1"/>
              </w:rPr>
            </w:pPr>
            <w:bookmarkStart w:id="2" w:name="_Toc425776595"/>
            <w:bookmarkStart w:id="3" w:name="_Toc456688591"/>
            <w:bookmarkStart w:id="4" w:name="_Toc456688607"/>
            <w:bookmarkEnd w:id="2"/>
            <w:bookmarkEnd w:id="3"/>
            <w:bookmarkEnd w:id="4"/>
            <w:r w:rsidRPr="00F31EBF">
              <w:rPr>
                <w:b/>
                <w:bCs/>
                <w:color w:val="FFFFFF" w:themeColor="background1"/>
              </w:rPr>
              <w:t>Gefahrenstoffe</w:t>
            </w:r>
          </w:p>
        </w:tc>
      </w:tr>
      <w:tr w:rsidR="00DE532A" w:rsidRPr="009C5E28" w:rsidTr="00527E73">
        <w:trPr>
          <w:trHeight w:val="437"/>
        </w:trPr>
        <w:tc>
          <w:tcPr>
            <w:tcW w:w="3027" w:type="dxa"/>
            <w:gridSpan w:val="3"/>
            <w:shd w:val="clear" w:color="auto" w:fill="auto"/>
            <w:vAlign w:val="center"/>
          </w:tcPr>
          <w:p w:rsidR="00DE532A" w:rsidRDefault="00DE532A" w:rsidP="00527E73">
            <w:pPr>
              <w:spacing w:after="0" w:line="276" w:lineRule="auto"/>
              <w:jc w:val="center"/>
              <w:rPr>
                <w:sz w:val="20"/>
              </w:rPr>
            </w:pPr>
            <w:r>
              <w:rPr>
                <w:sz w:val="20"/>
              </w:rPr>
              <w:t>Salzsäure</w:t>
            </w:r>
          </w:p>
          <w:p w:rsidR="00DE532A" w:rsidRPr="009C5E28" w:rsidRDefault="00DE532A" w:rsidP="00527E73">
            <w:pPr>
              <w:spacing w:after="0" w:line="276" w:lineRule="auto"/>
              <w:jc w:val="center"/>
              <w:rPr>
                <w:b/>
                <w:bCs/>
              </w:rPr>
            </w:pPr>
            <w:r>
              <w:rPr>
                <w:sz w:val="20"/>
              </w:rPr>
              <w:t>(c = 3 M)</w:t>
            </w:r>
          </w:p>
        </w:tc>
        <w:tc>
          <w:tcPr>
            <w:tcW w:w="3177" w:type="dxa"/>
            <w:gridSpan w:val="3"/>
            <w:shd w:val="clear" w:color="auto" w:fill="auto"/>
            <w:vAlign w:val="center"/>
          </w:tcPr>
          <w:p w:rsidR="00DE532A" w:rsidRPr="009C5E28" w:rsidRDefault="00DE532A" w:rsidP="00527E73">
            <w:pPr>
              <w:spacing w:after="0"/>
              <w:jc w:val="center"/>
            </w:pPr>
            <w:r>
              <w:rPr>
                <w:sz w:val="20"/>
              </w:rPr>
              <w:t>H: 314-335-290</w:t>
            </w:r>
          </w:p>
        </w:tc>
        <w:tc>
          <w:tcPr>
            <w:tcW w:w="3118" w:type="dxa"/>
            <w:gridSpan w:val="3"/>
            <w:shd w:val="clear" w:color="auto" w:fill="auto"/>
            <w:vAlign w:val="center"/>
          </w:tcPr>
          <w:p w:rsidR="00DE532A" w:rsidRPr="009C5E28" w:rsidRDefault="00DE532A" w:rsidP="00527E73">
            <w:pPr>
              <w:spacing w:after="0"/>
              <w:jc w:val="center"/>
            </w:pPr>
            <w:r w:rsidRPr="009C5E28">
              <w:rPr>
                <w:sz w:val="20"/>
              </w:rPr>
              <w:t xml:space="preserve">P: </w:t>
            </w:r>
            <w:r>
              <w:rPr>
                <w:sz w:val="20"/>
              </w:rPr>
              <w:t>234-260-305+351+353-303+361+353-304+340-309+311-501</w:t>
            </w:r>
          </w:p>
        </w:tc>
      </w:tr>
      <w:tr w:rsidR="00DE532A" w:rsidRPr="009C5E28" w:rsidTr="00527E73">
        <w:trPr>
          <w:trHeight w:val="434"/>
        </w:trPr>
        <w:tc>
          <w:tcPr>
            <w:tcW w:w="3027" w:type="dxa"/>
            <w:gridSpan w:val="3"/>
            <w:shd w:val="clear" w:color="auto" w:fill="auto"/>
            <w:vAlign w:val="center"/>
          </w:tcPr>
          <w:p w:rsidR="00DE532A" w:rsidRPr="009C5E28" w:rsidRDefault="00DE532A" w:rsidP="00527E73">
            <w:pPr>
              <w:spacing w:after="0" w:line="276" w:lineRule="auto"/>
              <w:jc w:val="center"/>
              <w:rPr>
                <w:bCs/>
                <w:sz w:val="20"/>
              </w:rPr>
            </w:pPr>
            <w:r>
              <w:rPr>
                <w:color w:val="auto"/>
                <w:sz w:val="20"/>
                <w:szCs w:val="20"/>
              </w:rPr>
              <w:t>Zink</w:t>
            </w:r>
          </w:p>
        </w:tc>
        <w:tc>
          <w:tcPr>
            <w:tcW w:w="3177" w:type="dxa"/>
            <w:gridSpan w:val="3"/>
            <w:shd w:val="clear" w:color="auto" w:fill="auto"/>
            <w:vAlign w:val="center"/>
          </w:tcPr>
          <w:p w:rsidR="00DE532A" w:rsidRPr="009C5E28" w:rsidRDefault="00DE532A" w:rsidP="00527E73">
            <w:pPr>
              <w:pStyle w:val="Beschriftung"/>
              <w:spacing w:after="0"/>
              <w:rPr>
                <w:sz w:val="20"/>
              </w:rPr>
            </w:pPr>
            <w:r w:rsidRPr="009C5E28">
              <w:rPr>
                <w:sz w:val="20"/>
              </w:rPr>
              <w:t xml:space="preserve">H: </w:t>
            </w:r>
            <w:r>
              <w:rPr>
                <w:sz w:val="20"/>
              </w:rPr>
              <w:t>250-260-410</w:t>
            </w:r>
          </w:p>
        </w:tc>
        <w:tc>
          <w:tcPr>
            <w:tcW w:w="3118" w:type="dxa"/>
            <w:gridSpan w:val="3"/>
            <w:shd w:val="clear" w:color="auto" w:fill="auto"/>
            <w:vAlign w:val="center"/>
          </w:tcPr>
          <w:p w:rsidR="00DE532A" w:rsidRPr="009C5E28" w:rsidRDefault="00DE532A" w:rsidP="00527E73">
            <w:pPr>
              <w:pStyle w:val="Beschriftung"/>
              <w:spacing w:after="0"/>
              <w:rPr>
                <w:sz w:val="20"/>
              </w:rPr>
            </w:pPr>
            <w:r w:rsidRPr="009C5E28">
              <w:rPr>
                <w:sz w:val="20"/>
              </w:rPr>
              <w:t xml:space="preserve">P: </w:t>
            </w:r>
            <w:r>
              <w:rPr>
                <w:sz w:val="20"/>
              </w:rPr>
              <w:t>222-210-231+232-280-370+378-273</w:t>
            </w:r>
          </w:p>
        </w:tc>
      </w:tr>
      <w:tr w:rsidR="00DE532A" w:rsidRPr="009C5E28" w:rsidTr="00527E73">
        <w:trPr>
          <w:trHeight w:val="434"/>
        </w:trPr>
        <w:tc>
          <w:tcPr>
            <w:tcW w:w="3027" w:type="dxa"/>
            <w:gridSpan w:val="3"/>
            <w:shd w:val="clear" w:color="auto" w:fill="auto"/>
            <w:vAlign w:val="center"/>
          </w:tcPr>
          <w:p w:rsidR="00DE532A" w:rsidRDefault="00DE532A" w:rsidP="00527E73">
            <w:pPr>
              <w:spacing w:after="0" w:line="276" w:lineRule="auto"/>
              <w:jc w:val="center"/>
              <w:rPr>
                <w:color w:val="auto"/>
                <w:sz w:val="20"/>
                <w:szCs w:val="20"/>
              </w:rPr>
            </w:pPr>
            <w:r>
              <w:rPr>
                <w:color w:val="auto"/>
                <w:sz w:val="20"/>
                <w:szCs w:val="20"/>
              </w:rPr>
              <w:t>Ethanol (98 %)</w:t>
            </w:r>
          </w:p>
        </w:tc>
        <w:tc>
          <w:tcPr>
            <w:tcW w:w="3177" w:type="dxa"/>
            <w:gridSpan w:val="3"/>
            <w:shd w:val="clear" w:color="auto" w:fill="auto"/>
            <w:vAlign w:val="center"/>
          </w:tcPr>
          <w:p w:rsidR="00DE532A" w:rsidRPr="009C5E28" w:rsidRDefault="00DE532A" w:rsidP="00527E73">
            <w:pPr>
              <w:pStyle w:val="Beschriftung"/>
              <w:spacing w:after="0"/>
              <w:rPr>
                <w:sz w:val="20"/>
              </w:rPr>
            </w:pPr>
            <w:r>
              <w:rPr>
                <w:sz w:val="20"/>
              </w:rPr>
              <w:t>H: 225-319</w:t>
            </w:r>
          </w:p>
        </w:tc>
        <w:tc>
          <w:tcPr>
            <w:tcW w:w="3118" w:type="dxa"/>
            <w:gridSpan w:val="3"/>
            <w:shd w:val="clear" w:color="auto" w:fill="auto"/>
            <w:vAlign w:val="center"/>
          </w:tcPr>
          <w:p w:rsidR="00DE532A" w:rsidRPr="009C5E28" w:rsidRDefault="00DE532A" w:rsidP="00527E73">
            <w:pPr>
              <w:pStyle w:val="Beschriftung"/>
              <w:spacing w:after="0"/>
              <w:rPr>
                <w:sz w:val="20"/>
              </w:rPr>
            </w:pPr>
            <w:r>
              <w:rPr>
                <w:sz w:val="20"/>
              </w:rPr>
              <w:t>P: 210-240-305+351+338-403+233</w:t>
            </w:r>
          </w:p>
        </w:tc>
      </w:tr>
      <w:tr w:rsidR="00DE532A" w:rsidRPr="009C5E28" w:rsidTr="00527E73">
        <w:trPr>
          <w:trHeight w:val="434"/>
        </w:trPr>
        <w:tc>
          <w:tcPr>
            <w:tcW w:w="3027" w:type="dxa"/>
            <w:gridSpan w:val="3"/>
            <w:shd w:val="clear" w:color="auto" w:fill="auto"/>
            <w:vAlign w:val="center"/>
          </w:tcPr>
          <w:p w:rsidR="00DE532A" w:rsidRDefault="00DE532A" w:rsidP="00527E73">
            <w:pPr>
              <w:spacing w:after="0" w:line="276" w:lineRule="auto"/>
              <w:jc w:val="center"/>
              <w:rPr>
                <w:color w:val="auto"/>
                <w:sz w:val="20"/>
                <w:szCs w:val="20"/>
              </w:rPr>
            </w:pPr>
            <w:proofErr w:type="spellStart"/>
            <w:r>
              <w:rPr>
                <w:color w:val="auto"/>
                <w:sz w:val="20"/>
                <w:szCs w:val="20"/>
              </w:rPr>
              <w:t>demin</w:t>
            </w:r>
            <w:proofErr w:type="spellEnd"/>
            <w:r>
              <w:rPr>
                <w:color w:val="auto"/>
                <w:sz w:val="20"/>
                <w:szCs w:val="20"/>
              </w:rPr>
              <w:t>. Wasser</w:t>
            </w:r>
          </w:p>
        </w:tc>
        <w:tc>
          <w:tcPr>
            <w:tcW w:w="3177" w:type="dxa"/>
            <w:gridSpan w:val="3"/>
            <w:shd w:val="clear" w:color="auto" w:fill="auto"/>
            <w:vAlign w:val="center"/>
          </w:tcPr>
          <w:p w:rsidR="00DE532A" w:rsidRDefault="00DE532A" w:rsidP="00527E73">
            <w:pPr>
              <w:pStyle w:val="Beschriftung"/>
              <w:spacing w:after="0"/>
              <w:rPr>
                <w:sz w:val="20"/>
              </w:rPr>
            </w:pPr>
            <w:r>
              <w:rPr>
                <w:sz w:val="20"/>
              </w:rPr>
              <w:t>H: -</w:t>
            </w:r>
          </w:p>
        </w:tc>
        <w:tc>
          <w:tcPr>
            <w:tcW w:w="3118" w:type="dxa"/>
            <w:gridSpan w:val="3"/>
            <w:shd w:val="clear" w:color="auto" w:fill="auto"/>
            <w:vAlign w:val="center"/>
          </w:tcPr>
          <w:p w:rsidR="00DE532A" w:rsidRDefault="00DE532A" w:rsidP="00527E73">
            <w:pPr>
              <w:pStyle w:val="Beschriftung"/>
              <w:spacing w:after="0"/>
              <w:rPr>
                <w:sz w:val="20"/>
              </w:rPr>
            </w:pPr>
            <w:r>
              <w:rPr>
                <w:sz w:val="20"/>
              </w:rPr>
              <w:t>P: -</w:t>
            </w:r>
          </w:p>
        </w:tc>
      </w:tr>
      <w:tr w:rsidR="00DE532A" w:rsidRPr="009C5E28" w:rsidTr="00527E73">
        <w:trPr>
          <w:trHeight w:val="434"/>
        </w:trPr>
        <w:tc>
          <w:tcPr>
            <w:tcW w:w="3027" w:type="dxa"/>
            <w:gridSpan w:val="3"/>
            <w:shd w:val="clear" w:color="auto" w:fill="auto"/>
            <w:vAlign w:val="center"/>
          </w:tcPr>
          <w:p w:rsidR="00DE532A" w:rsidRDefault="00DE532A" w:rsidP="00527E73">
            <w:pPr>
              <w:spacing w:after="0" w:line="276" w:lineRule="auto"/>
              <w:jc w:val="center"/>
              <w:rPr>
                <w:color w:val="auto"/>
                <w:sz w:val="20"/>
                <w:szCs w:val="20"/>
              </w:rPr>
            </w:pPr>
            <w:r>
              <w:rPr>
                <w:color w:val="auto"/>
                <w:sz w:val="20"/>
                <w:szCs w:val="20"/>
              </w:rPr>
              <w:t>Zinkchlorid</w:t>
            </w:r>
          </w:p>
        </w:tc>
        <w:tc>
          <w:tcPr>
            <w:tcW w:w="3177" w:type="dxa"/>
            <w:gridSpan w:val="3"/>
            <w:shd w:val="clear" w:color="auto" w:fill="auto"/>
            <w:vAlign w:val="center"/>
          </w:tcPr>
          <w:p w:rsidR="00DE532A" w:rsidRDefault="00DE532A" w:rsidP="00527E73">
            <w:pPr>
              <w:pStyle w:val="Beschriftung"/>
              <w:spacing w:after="0"/>
              <w:rPr>
                <w:sz w:val="20"/>
              </w:rPr>
            </w:pPr>
            <w:r>
              <w:rPr>
                <w:sz w:val="20"/>
              </w:rPr>
              <w:t>H: 302-314-410</w:t>
            </w:r>
          </w:p>
        </w:tc>
        <w:tc>
          <w:tcPr>
            <w:tcW w:w="3118" w:type="dxa"/>
            <w:gridSpan w:val="3"/>
            <w:shd w:val="clear" w:color="auto" w:fill="auto"/>
            <w:vAlign w:val="center"/>
          </w:tcPr>
          <w:p w:rsidR="00DE532A" w:rsidRDefault="00DE532A" w:rsidP="00527E73">
            <w:pPr>
              <w:pStyle w:val="Beschriftung"/>
              <w:spacing w:after="0"/>
              <w:rPr>
                <w:sz w:val="20"/>
              </w:rPr>
            </w:pPr>
            <w:r>
              <w:rPr>
                <w:sz w:val="20"/>
              </w:rPr>
              <w:t>P: 273-280-301+330+331-305+351+338-308+310</w:t>
            </w:r>
          </w:p>
        </w:tc>
      </w:tr>
      <w:tr w:rsidR="00DE532A" w:rsidRPr="009C5E28" w:rsidTr="00527E73">
        <w:trPr>
          <w:trHeight w:val="434"/>
        </w:trPr>
        <w:tc>
          <w:tcPr>
            <w:tcW w:w="3027" w:type="dxa"/>
            <w:gridSpan w:val="3"/>
            <w:shd w:val="clear" w:color="auto" w:fill="auto"/>
            <w:vAlign w:val="center"/>
          </w:tcPr>
          <w:p w:rsidR="00DE532A" w:rsidRDefault="00DE532A" w:rsidP="00527E73">
            <w:pPr>
              <w:spacing w:after="0" w:line="276" w:lineRule="auto"/>
              <w:jc w:val="center"/>
              <w:rPr>
                <w:color w:val="auto"/>
                <w:sz w:val="20"/>
                <w:szCs w:val="20"/>
              </w:rPr>
            </w:pPr>
            <w:r>
              <w:rPr>
                <w:color w:val="auto"/>
                <w:sz w:val="20"/>
                <w:szCs w:val="20"/>
              </w:rPr>
              <w:t>Kohlenstoffdioxid</w:t>
            </w:r>
          </w:p>
        </w:tc>
        <w:tc>
          <w:tcPr>
            <w:tcW w:w="3177" w:type="dxa"/>
            <w:gridSpan w:val="3"/>
            <w:shd w:val="clear" w:color="auto" w:fill="auto"/>
            <w:vAlign w:val="center"/>
          </w:tcPr>
          <w:p w:rsidR="00DE532A" w:rsidRDefault="00DE532A" w:rsidP="00527E73">
            <w:pPr>
              <w:pStyle w:val="Beschriftung"/>
              <w:spacing w:after="0"/>
              <w:rPr>
                <w:sz w:val="20"/>
              </w:rPr>
            </w:pPr>
            <w:r>
              <w:rPr>
                <w:sz w:val="20"/>
              </w:rPr>
              <w:t>H: -</w:t>
            </w:r>
          </w:p>
        </w:tc>
        <w:tc>
          <w:tcPr>
            <w:tcW w:w="3118" w:type="dxa"/>
            <w:gridSpan w:val="3"/>
            <w:shd w:val="clear" w:color="auto" w:fill="auto"/>
            <w:vAlign w:val="center"/>
          </w:tcPr>
          <w:p w:rsidR="00DE532A" w:rsidRDefault="00DE532A" w:rsidP="00527E73">
            <w:pPr>
              <w:pStyle w:val="Beschriftung"/>
              <w:spacing w:after="0"/>
              <w:rPr>
                <w:sz w:val="20"/>
              </w:rPr>
            </w:pPr>
            <w:r>
              <w:rPr>
                <w:sz w:val="20"/>
              </w:rPr>
              <w:t>P: -</w:t>
            </w:r>
          </w:p>
        </w:tc>
      </w:tr>
      <w:tr w:rsidR="00DE532A" w:rsidRPr="009C5E28" w:rsidTr="00527E73">
        <w:tc>
          <w:tcPr>
            <w:tcW w:w="1009" w:type="dxa"/>
            <w:shd w:val="clear" w:color="auto" w:fill="auto"/>
            <w:vAlign w:val="center"/>
          </w:tcPr>
          <w:p w:rsidR="00DE532A" w:rsidRPr="009C5E28" w:rsidRDefault="00DE532A" w:rsidP="00527E73">
            <w:pPr>
              <w:spacing w:after="0"/>
              <w:jc w:val="center"/>
              <w:rPr>
                <w:b/>
                <w:bCs/>
              </w:rPr>
            </w:pPr>
            <w:r>
              <w:rPr>
                <w:b/>
                <w:bCs/>
                <w:noProof/>
                <w:lang w:eastAsia="de-DE"/>
              </w:rPr>
              <w:drawing>
                <wp:inline distT="0" distB="0" distL="0" distR="0" wp14:anchorId="27C0CDB5" wp14:editId="2AA04FE7">
                  <wp:extent cx="503555" cy="503555"/>
                  <wp:effectExtent l="0" t="0" r="0" b="0"/>
                  <wp:docPr id="49" name="Bild 1"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tze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tc>
        <w:tc>
          <w:tcPr>
            <w:tcW w:w="1009" w:type="dxa"/>
            <w:shd w:val="clear" w:color="auto" w:fill="auto"/>
            <w:vAlign w:val="center"/>
          </w:tcPr>
          <w:p w:rsidR="00DE532A" w:rsidRPr="009C5E28" w:rsidRDefault="00DE532A" w:rsidP="00527E73">
            <w:pPr>
              <w:spacing w:after="0"/>
              <w:jc w:val="center"/>
            </w:pPr>
            <w:r>
              <w:rPr>
                <w:noProof/>
                <w:lang w:eastAsia="de-DE"/>
              </w:rPr>
              <w:drawing>
                <wp:inline distT="0" distB="0" distL="0" distR="0" wp14:anchorId="63261EC4" wp14:editId="48773AD7">
                  <wp:extent cx="503555" cy="503555"/>
                  <wp:effectExtent l="0" t="0" r="0" b="0"/>
                  <wp:docPr id="46" name="Bild 2"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förder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tc>
        <w:tc>
          <w:tcPr>
            <w:tcW w:w="1009" w:type="dxa"/>
            <w:shd w:val="clear" w:color="auto" w:fill="auto"/>
            <w:vAlign w:val="center"/>
          </w:tcPr>
          <w:p w:rsidR="00DE532A" w:rsidRPr="009C5E28" w:rsidRDefault="00DE532A" w:rsidP="00527E73">
            <w:pPr>
              <w:spacing w:after="0"/>
              <w:jc w:val="center"/>
            </w:pPr>
            <w:r>
              <w:rPr>
                <w:noProof/>
                <w:lang w:eastAsia="de-DE"/>
              </w:rPr>
              <w:drawing>
                <wp:inline distT="0" distB="0" distL="0" distR="0" wp14:anchorId="21192AB1" wp14:editId="5D8780F2">
                  <wp:extent cx="503555" cy="503555"/>
                  <wp:effectExtent l="0" t="0" r="0" b="0"/>
                  <wp:docPr id="44" name="Bild 3"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nnb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tc>
        <w:tc>
          <w:tcPr>
            <w:tcW w:w="1009" w:type="dxa"/>
            <w:shd w:val="clear" w:color="auto" w:fill="auto"/>
            <w:vAlign w:val="center"/>
          </w:tcPr>
          <w:p w:rsidR="00DE532A" w:rsidRPr="009C5E28" w:rsidRDefault="00DE532A" w:rsidP="00527E73">
            <w:pPr>
              <w:spacing w:after="0"/>
              <w:jc w:val="center"/>
            </w:pPr>
            <w:r>
              <w:rPr>
                <w:noProof/>
                <w:lang w:eastAsia="de-DE"/>
              </w:rPr>
              <w:drawing>
                <wp:inline distT="0" distB="0" distL="0" distR="0" wp14:anchorId="326AAA0B" wp14:editId="410A3193">
                  <wp:extent cx="609600" cy="609600"/>
                  <wp:effectExtent l="0" t="0" r="0" b="0"/>
                  <wp:docPr id="10" name="Grafik 10" descr="C:\Users\Adrian\AppData\Local\Microsoft\Windows\INetCache\Content.Word\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Adrian\AppData\Local\Microsoft\Windows\INetCache\Content.Word\Explosionsgefah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175" w:type="dxa"/>
            <w:shd w:val="clear" w:color="auto" w:fill="auto"/>
            <w:vAlign w:val="center"/>
          </w:tcPr>
          <w:p w:rsidR="00DE532A" w:rsidRPr="009C5E28" w:rsidRDefault="00DE532A" w:rsidP="00527E73">
            <w:pPr>
              <w:spacing w:after="0"/>
              <w:jc w:val="center"/>
            </w:pPr>
            <w:r>
              <w:rPr>
                <w:noProof/>
                <w:lang w:eastAsia="de-DE"/>
              </w:rPr>
              <w:drawing>
                <wp:inline distT="0" distB="0" distL="0" distR="0" wp14:anchorId="3F1CBC7A" wp14:editId="4C77799F">
                  <wp:extent cx="494665" cy="494665"/>
                  <wp:effectExtent l="0" t="0" r="635" b="635"/>
                  <wp:docPr id="42" name="Bild 4"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sflas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noFill/>
                          <a:ln>
                            <a:noFill/>
                          </a:ln>
                        </pic:spPr>
                      </pic:pic>
                    </a:graphicData>
                  </a:graphic>
                </wp:inline>
              </w:drawing>
            </w:r>
          </w:p>
        </w:tc>
        <w:tc>
          <w:tcPr>
            <w:tcW w:w="993" w:type="dxa"/>
            <w:shd w:val="clear" w:color="auto" w:fill="auto"/>
            <w:vAlign w:val="center"/>
          </w:tcPr>
          <w:p w:rsidR="00DE532A" w:rsidRPr="009C5E28" w:rsidRDefault="00DE532A" w:rsidP="00527E73">
            <w:pPr>
              <w:spacing w:after="0"/>
              <w:jc w:val="center"/>
            </w:pPr>
            <w:r>
              <w:rPr>
                <w:noProof/>
                <w:lang w:eastAsia="de-DE"/>
              </w:rPr>
              <w:drawing>
                <wp:inline distT="0" distB="0" distL="0" distR="0" wp14:anchorId="1E81B8C8" wp14:editId="719A9956">
                  <wp:extent cx="494665" cy="494665"/>
                  <wp:effectExtent l="0" t="0" r="635" b="635"/>
                  <wp:docPr id="34" name="Bild 5" descr="Gesundheits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sundheitsgefah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noFill/>
                          <a:ln>
                            <a:noFill/>
                          </a:ln>
                        </pic:spPr>
                      </pic:pic>
                    </a:graphicData>
                  </a:graphic>
                </wp:inline>
              </w:drawing>
            </w:r>
          </w:p>
        </w:tc>
        <w:tc>
          <w:tcPr>
            <w:tcW w:w="975" w:type="dxa"/>
            <w:shd w:val="clear" w:color="auto" w:fill="auto"/>
            <w:vAlign w:val="center"/>
          </w:tcPr>
          <w:p w:rsidR="00DE532A" w:rsidRPr="009C5E28" w:rsidRDefault="00DE532A" w:rsidP="00527E73">
            <w:pPr>
              <w:spacing w:after="0"/>
              <w:jc w:val="center"/>
            </w:pPr>
            <w:r>
              <w:rPr>
                <w:noProof/>
                <w:lang w:eastAsia="de-DE"/>
              </w:rPr>
              <w:drawing>
                <wp:inline distT="0" distB="0" distL="0" distR="0" wp14:anchorId="52F9596C" wp14:editId="42E874B4">
                  <wp:extent cx="501650" cy="501650"/>
                  <wp:effectExtent l="0" t="0" r="0" b="0"/>
                  <wp:docPr id="12" name="Grafik 12" descr="C:\Users\Adrian\AppData\Local\Microsoft\Windows\INetCache\Content.Word\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Adrian\AppData\Local\Microsoft\Windows\INetCache\Content.Word\Gifti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DE532A" w:rsidRPr="009C5E28" w:rsidRDefault="00DE532A" w:rsidP="00527E73">
            <w:pPr>
              <w:spacing w:after="0"/>
              <w:jc w:val="center"/>
            </w:pPr>
            <w:r>
              <w:rPr>
                <w:noProof/>
                <w:lang w:eastAsia="de-DE"/>
              </w:rPr>
              <w:drawing>
                <wp:inline distT="0" distB="0" distL="0" distR="0" wp14:anchorId="6AD1E984" wp14:editId="11F85BC6">
                  <wp:extent cx="503555" cy="503555"/>
                  <wp:effectExtent l="0" t="0" r="0" b="0"/>
                  <wp:docPr id="33" name="Bild 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ize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tc>
        <w:tc>
          <w:tcPr>
            <w:tcW w:w="1134" w:type="dxa"/>
            <w:shd w:val="clear" w:color="auto" w:fill="auto"/>
            <w:vAlign w:val="center"/>
          </w:tcPr>
          <w:p w:rsidR="00DE532A" w:rsidRPr="009C5E28" w:rsidRDefault="00DE532A" w:rsidP="00527E73">
            <w:pPr>
              <w:spacing w:after="0"/>
              <w:jc w:val="center"/>
            </w:pPr>
            <w:r>
              <w:rPr>
                <w:noProof/>
                <w:lang w:eastAsia="de-DE"/>
              </w:rPr>
              <w:drawing>
                <wp:inline distT="0" distB="0" distL="0" distR="0" wp14:anchorId="7FE58747" wp14:editId="2383B285">
                  <wp:extent cx="579120" cy="579120"/>
                  <wp:effectExtent l="0" t="0" r="0" b="0"/>
                  <wp:docPr id="32" name="Bild 7"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mweltgefah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r>
    </w:tbl>
    <w:p w:rsidR="00DE532A" w:rsidRDefault="00DE532A" w:rsidP="00DE532A">
      <w:pPr>
        <w:tabs>
          <w:tab w:val="left" w:pos="1701"/>
          <w:tab w:val="left" w:pos="1985"/>
        </w:tabs>
        <w:ind w:left="1980" w:hanging="1980"/>
      </w:pPr>
    </w:p>
    <w:p w:rsidR="00DE532A" w:rsidRDefault="00DE532A" w:rsidP="00DE532A">
      <w:pPr>
        <w:tabs>
          <w:tab w:val="left" w:pos="1701"/>
          <w:tab w:val="left" w:pos="1985"/>
        </w:tabs>
        <w:ind w:left="1980" w:hanging="1980"/>
      </w:pPr>
      <w:r>
        <w:t xml:space="preserve">Materialien: </w:t>
      </w:r>
      <w:r>
        <w:tab/>
      </w:r>
      <w:r>
        <w:tab/>
        <w:t xml:space="preserve">4 Bechergläser (100 mL), Porzellantiegel, </w:t>
      </w:r>
      <w:proofErr w:type="spellStart"/>
      <w:r>
        <w:t>Pasteurpipette</w:t>
      </w:r>
      <w:proofErr w:type="spellEnd"/>
      <w:r>
        <w:t>, feuerfeste Unterlage, Stabfeuerzeug</w:t>
      </w:r>
    </w:p>
    <w:p w:rsidR="00DE532A" w:rsidRDefault="00DE532A" w:rsidP="00DE532A">
      <w:pPr>
        <w:tabs>
          <w:tab w:val="left" w:pos="1701"/>
          <w:tab w:val="left" w:pos="1985"/>
        </w:tabs>
        <w:ind w:left="1980" w:hanging="1980"/>
      </w:pPr>
      <w:r>
        <w:t>Chemikalien:</w:t>
      </w:r>
      <w:r>
        <w:tab/>
      </w:r>
      <w:r>
        <w:tab/>
        <w:t xml:space="preserve">3 M Salzsäure (20 mL), 1 M Salzsäure (40 mL), 0,1 M Salzsäure (20 mL), Ethanol (5 mL), Zinkblech, Zinkgranulat </w:t>
      </w:r>
    </w:p>
    <w:p w:rsidR="00DE532A" w:rsidRDefault="00DE532A" w:rsidP="00DE532A">
      <w:pPr>
        <w:ind w:left="1980" w:hanging="1980"/>
      </w:pPr>
      <w:r>
        <w:t>Durchführung:</w:t>
      </w:r>
      <w:r>
        <w:tab/>
        <w:t xml:space="preserve">Die Bechergläser werden T-förmig aufgestellt. In jedes Becherglas der Dreierreihe werden fünf </w:t>
      </w:r>
      <w:proofErr w:type="spellStart"/>
      <w:r>
        <w:t>Zinkgranalien</w:t>
      </w:r>
      <w:proofErr w:type="spellEnd"/>
      <w:r>
        <w:t xml:space="preserve"> gegeben, in das vierte Becherglas ein Zinkblech gestellt. Zu dem Granulat werden 20 mL von einer der verschiedenen Salzsäurelösungen gegeben, zum Zinkblech 20 mL der 1 M Salzsäurelösung. Eine Pipette Ethanol wird in den Tiegel gegeben und dieselbe Menge auf der feuerfesten Unterlage verteilt. Mit dem Feuerzeug werden beide entzündet.</w:t>
      </w:r>
    </w:p>
    <w:p w:rsidR="00DE532A" w:rsidRDefault="00DE532A" w:rsidP="00DE532A">
      <w:pPr>
        <w:tabs>
          <w:tab w:val="left" w:pos="1701"/>
          <w:tab w:val="left" w:pos="1985"/>
        </w:tabs>
        <w:ind w:left="1980" w:hanging="1980"/>
      </w:pPr>
      <w:r>
        <w:t>Beobachtung:</w:t>
      </w:r>
      <w:r>
        <w:tab/>
      </w:r>
      <w:r>
        <w:tab/>
        <w:t xml:space="preserve">In allen vier Bechergläsern steigt Gas auf. Die Gasentwicklung im Becherglas mit dem Zinkgranulat und der 3 M Salzsäurelösung ist am stärksten. Im </w:t>
      </w:r>
      <w:r>
        <w:lastRenderedPageBreak/>
        <w:t>Becherglas mit der 1 M Salzsäurelösung und dem Zinkblech ist die Gasentwicklung am schwächsten. Nach einiger Zeit werden die Lösungen milchig trüb und die Gasentwicklung schwächer.</w:t>
      </w:r>
    </w:p>
    <w:p w:rsidR="00DE532A" w:rsidRDefault="00DE532A" w:rsidP="00DE532A">
      <w:pPr>
        <w:tabs>
          <w:tab w:val="left" w:pos="1701"/>
          <w:tab w:val="left" w:pos="1985"/>
        </w:tabs>
        <w:ind w:left="1980" w:hanging="1980"/>
      </w:pPr>
      <w:r>
        <w:tab/>
      </w:r>
      <w:r>
        <w:tab/>
        <w:t>Das Ethanol brennt nach dem Anzünden mit bläulicher Flamme. Die Flamme aus dem Tiegel leuchtet ab und zu gelb auf und es steigt Rauch auf. Das Ethanol auf der feuerfesten Unterlage hört nach kurzer Zeit auf zu brennen, es ist kaum noch Flüssigkeit übrig, während das Ethanol im Tiegel noch eine Weile weiter brennt.</w:t>
      </w:r>
    </w:p>
    <w:p w:rsidR="00DE532A" w:rsidRDefault="00DE532A" w:rsidP="00DE532A">
      <w:pPr>
        <w:tabs>
          <w:tab w:val="left" w:pos="1701"/>
          <w:tab w:val="left" w:pos="1985"/>
        </w:tabs>
        <w:ind w:left="1980" w:hanging="1980"/>
      </w:pPr>
      <w:r>
        <w:t>Deutung:</w:t>
      </w:r>
      <w:r>
        <w:tab/>
      </w:r>
      <w:r>
        <w:tab/>
        <w:t xml:space="preserve">In allen vier Bechergläsern reagiert die Salzsäure mit dem Zink. Wasserstoffgas steigt auf und mit fortschreitender Dauer fällt Zinkchlorid als weißer Feststoff aus. Es findet eine </w:t>
      </w:r>
      <w:proofErr w:type="spellStart"/>
      <w:r>
        <w:t>Redox</w:t>
      </w:r>
      <w:proofErr w:type="spellEnd"/>
      <w:r>
        <w:t xml:space="preserve">-Reaktion statt. Das Zink wird zu Zink(II)-Kationen oxidiert und die </w:t>
      </w:r>
      <w:proofErr w:type="spellStart"/>
      <w:r>
        <w:t>Oxoniumionen</w:t>
      </w:r>
      <w:proofErr w:type="spellEnd"/>
      <w:r>
        <w:t xml:space="preserve"> zu Wasserstoff und Wasser reduziert.</w:t>
      </w:r>
    </w:p>
    <w:p w:rsidR="00DE532A" w:rsidRDefault="00DE532A" w:rsidP="00DE532A">
      <w:pPr>
        <w:ind w:left="1985"/>
        <w:rPr>
          <w:rFonts w:eastAsiaTheme="minorEastAsia"/>
        </w:rPr>
      </w:pPr>
      <w:r>
        <w:rPr>
          <w:rFonts w:eastAsiaTheme="minorEastAsia"/>
        </w:rPr>
        <w:t>Reduktion:</w:t>
      </w:r>
      <w:r>
        <w:rPr>
          <w:rFonts w:eastAsiaTheme="minorEastAsia"/>
        </w:rPr>
        <w:tab/>
      </w:r>
      <m:oMath>
        <m:r>
          <w:rPr>
            <w:rFonts w:ascii="Cambria Math" w:eastAsiaTheme="minorEastAsia" w:hAnsi="Cambria Math"/>
          </w:rPr>
          <m:t>2</m:t>
        </m:r>
        <m:r>
          <w:rPr>
            <w:rFonts w:ascii="Cambria Math" w:hAnsi="Cambria Math"/>
          </w:rPr>
          <m:t xml:space="preserve"> </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H</m:t>
                    </m:r>
                  </m:e>
                  <m:sub>
                    <m:r>
                      <w:rPr>
                        <w:rFonts w:ascii="Cambria Math" w:hAnsi="Cambria Math"/>
                      </w:rPr>
                      <m:t>3</m:t>
                    </m:r>
                  </m:sub>
                </m:sSub>
                <m:r>
                  <m:rPr>
                    <m:sty m:val="p"/>
                  </m:rPr>
                  <w:rPr>
                    <w:rFonts w:ascii="Cambria Math" w:hAnsi="Cambria Math"/>
                  </w:rPr>
                  <m:t>O</m:t>
                </m:r>
              </m:e>
              <m:sup>
                <m: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w:rPr>
            <w:rFonts w:ascii="Cambria Math" w:hAnsi="Cambria Math"/>
          </w:rPr>
          <m:t xml:space="preserve">+2 </m:t>
        </m:r>
        <m:sSup>
          <m:sSupPr>
            <m:ctrlPr>
              <w:rPr>
                <w:rFonts w:ascii="Cambria Math" w:hAnsi="Cambria Math"/>
              </w:rPr>
            </m:ctrlPr>
          </m:sSupPr>
          <m:e>
            <m:r>
              <m:rPr>
                <m:sty m:val="p"/>
              </m:rPr>
              <w:rPr>
                <w:rFonts w:ascii="Cambria Math" w:hAnsi="Cambria Math"/>
              </w:rPr>
              <m:t>e</m:t>
            </m:r>
          </m:e>
          <m:sup>
            <m:r>
              <w:rPr>
                <w:rFonts w:ascii="Cambria Math" w:hAnsi="Cambria Math"/>
              </w:rPr>
              <m:t>-</m:t>
            </m:r>
          </m:sup>
        </m:sSup>
        <m: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g</m:t>
                </m:r>
              </m:e>
            </m:d>
            <m:r>
              <m:rPr>
                <m:sty m:val="p"/>
              </m:rPr>
              <w:rPr>
                <w:rFonts w:ascii="Cambria Math" w:hAnsi="Cambria Math"/>
              </w:rPr>
              <m:t xml:space="preserve"> </m:t>
            </m:r>
          </m:sub>
        </m:sSub>
        <m:r>
          <m:rPr>
            <m:sty m:val="p"/>
          </m:rPr>
          <w:rPr>
            <w:rFonts w:ascii="Cambria Math" w:hAnsi="Cambria Math"/>
          </w:rPr>
          <m:t>+</m:t>
        </m:r>
        <m:r>
          <w:rPr>
            <w:rFonts w:ascii="Cambria Math" w:hAnsi="Cambria Math"/>
          </w:rPr>
          <m:t xml:space="preserve">2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O </m:t>
            </m:r>
          </m:e>
          <m:sub>
            <m:d>
              <m:dPr>
                <m:ctrlPr>
                  <w:rPr>
                    <w:rFonts w:ascii="Cambria Math" w:hAnsi="Cambria Math"/>
                  </w:rPr>
                </m:ctrlPr>
              </m:dPr>
              <m:e>
                <m:r>
                  <m:rPr>
                    <m:sty m:val="p"/>
                  </m:rPr>
                  <w:rPr>
                    <w:rFonts w:ascii="Cambria Math" w:hAnsi="Cambria Math"/>
                  </w:rPr>
                  <m:t>l</m:t>
                </m:r>
              </m:e>
            </m:d>
          </m:sub>
        </m:sSub>
        <m:r>
          <m:rPr>
            <m:sty m:val="p"/>
          </m:rPr>
          <w:rPr>
            <w:rFonts w:ascii="Cambria Math" w:hAnsi="Cambria Math"/>
          </w:rPr>
          <m:t xml:space="preserve"> </m:t>
        </m:r>
      </m:oMath>
    </w:p>
    <w:p w:rsidR="00DE532A" w:rsidRPr="007F461E" w:rsidRDefault="00DE532A" w:rsidP="00DE532A">
      <w:pPr>
        <w:ind w:left="1985"/>
        <w:rPr>
          <w:rFonts w:eastAsiaTheme="minorEastAsia"/>
          <w:lang w:val="en-US"/>
        </w:rPr>
      </w:pPr>
      <w:r w:rsidRPr="007F461E">
        <w:rPr>
          <w:rFonts w:eastAsiaTheme="minorEastAsia"/>
          <w:lang w:val="en-US"/>
        </w:rPr>
        <w:t>Oxidation:</w:t>
      </w:r>
      <w:r w:rsidRPr="007F461E">
        <w:rPr>
          <w:rFonts w:eastAsiaTheme="minorEastAsia"/>
          <w:lang w:val="en-US"/>
        </w:rPr>
        <w:tab/>
      </w:r>
      <m:oMath>
        <m:r>
          <w:rPr>
            <w:rFonts w:ascii="Cambria Math" w:eastAsiaTheme="minorEastAsia" w:hAnsi="Cambria Math"/>
            <w:lang w:val="en-US"/>
          </w:rPr>
          <m:t xml:space="preserve"> </m:t>
        </m:r>
        <m:sSub>
          <m:sSubPr>
            <m:ctrlPr>
              <w:rPr>
                <w:rFonts w:ascii="Cambria Math" w:eastAsiaTheme="minorEastAsia" w:hAnsi="Cambria Math"/>
              </w:rPr>
            </m:ctrlPr>
          </m:sSubPr>
          <m:e>
            <m:r>
              <m:rPr>
                <m:sty m:val="p"/>
              </m:rPr>
              <w:rPr>
                <w:rFonts w:ascii="Cambria Math" w:eastAsiaTheme="minorEastAsia" w:hAnsi="Cambria Math"/>
                <w:lang w:val="en-US"/>
              </w:rPr>
              <m:t xml:space="preserve">Zn </m:t>
            </m:r>
          </m:e>
          <m:sub>
            <m:d>
              <m:dPr>
                <m:ctrlPr>
                  <w:rPr>
                    <w:rFonts w:ascii="Cambria Math" w:hAnsi="Cambria Math"/>
                  </w:rPr>
                </m:ctrlPr>
              </m:dPr>
              <m:e>
                <m:r>
                  <m:rPr>
                    <m:sty m:val="p"/>
                  </m:rPr>
                  <w:rPr>
                    <w:rFonts w:ascii="Cambria Math" w:hAnsi="Cambria Math"/>
                    <w:lang w:val="en-US"/>
                  </w:rPr>
                  <m:t>s</m:t>
                </m:r>
              </m:e>
            </m:d>
          </m:sub>
        </m:sSub>
        <m:r>
          <m:rPr>
            <m:sty m:val="p"/>
          </m:rPr>
          <w:rPr>
            <w:rFonts w:ascii="Cambria Math" w:hAnsi="Cambria Math"/>
            <w:lang w:val="en-US"/>
          </w:rPr>
          <m:t xml:space="preserve"> </m:t>
        </m:r>
        <m:r>
          <w:rPr>
            <w:rFonts w:ascii="Cambria Math" w:hAnsi="Cambria Math"/>
            <w:lang w:val="en-US"/>
          </w:rPr>
          <m:t>→</m:t>
        </m:r>
        <m:sSub>
          <m:sSubPr>
            <m:ctrlPr>
              <w:rPr>
                <w:rFonts w:ascii="Cambria Math" w:hAnsi="Cambria Math"/>
                <w:i/>
              </w:rPr>
            </m:ctrlPr>
          </m:sSubPr>
          <m:e>
            <m:sSup>
              <m:sSupPr>
                <m:ctrlPr>
                  <w:rPr>
                    <w:rFonts w:ascii="Cambria Math" w:hAnsi="Cambria Math"/>
                    <w:i/>
                  </w:rPr>
                </m:ctrlPr>
              </m:sSupPr>
              <m:e>
                <m:r>
                  <m:rPr>
                    <m:sty m:val="p"/>
                  </m:rPr>
                  <w:rPr>
                    <w:rFonts w:ascii="Cambria Math" w:hAnsi="Cambria Math"/>
                    <w:lang w:val="en-US"/>
                  </w:rPr>
                  <m:t>Zn</m:t>
                </m:r>
              </m:e>
              <m:sup>
                <m:r>
                  <w:rPr>
                    <w:rFonts w:ascii="Cambria Math" w:hAnsi="Cambria Math"/>
                    <w:lang w:val="en-US"/>
                  </w:rPr>
                  <m:t>2+</m:t>
                </m:r>
              </m:sup>
            </m:sSup>
            <m:r>
              <m:rPr>
                <m:sty m:val="p"/>
              </m:rPr>
              <w:rPr>
                <w:rFonts w:ascii="Cambria Math" w:hAnsi="Cambria Math"/>
                <w:lang w:val="en-US"/>
              </w:rPr>
              <m:t xml:space="preserve"> </m:t>
            </m:r>
          </m:e>
          <m:sub>
            <m:d>
              <m:dPr>
                <m:ctrlPr>
                  <w:rPr>
                    <w:rFonts w:ascii="Cambria Math" w:hAnsi="Cambria Math"/>
                  </w:rPr>
                </m:ctrlPr>
              </m:dPr>
              <m:e>
                <m:r>
                  <m:rPr>
                    <m:sty m:val="p"/>
                  </m:rPr>
                  <w:rPr>
                    <w:rFonts w:ascii="Cambria Math" w:hAnsi="Cambria Math"/>
                    <w:lang w:val="en-US"/>
                  </w:rPr>
                  <m:t>aq</m:t>
                </m:r>
              </m:e>
            </m:d>
          </m:sub>
        </m:sSub>
        <m:r>
          <m:rPr>
            <m:sty m:val="p"/>
          </m:rPr>
          <w:rPr>
            <w:rFonts w:ascii="Cambria Math" w:hAnsi="Cambria Math"/>
            <w:lang w:val="en-US"/>
          </w:rPr>
          <m:t>+2</m:t>
        </m:r>
        <m:r>
          <w:rPr>
            <w:rFonts w:ascii="Cambria Math" w:hAnsi="Cambria Math"/>
            <w:lang w:val="en-US"/>
          </w:rPr>
          <m:t xml:space="preserve"> </m:t>
        </m:r>
        <m:sSup>
          <m:sSupPr>
            <m:ctrlPr>
              <w:rPr>
                <w:rFonts w:ascii="Cambria Math" w:hAnsi="Cambria Math"/>
              </w:rPr>
            </m:ctrlPr>
          </m:sSupPr>
          <m:e>
            <m:r>
              <m:rPr>
                <m:sty m:val="p"/>
              </m:rPr>
              <w:rPr>
                <w:rFonts w:ascii="Cambria Math" w:hAnsi="Cambria Math"/>
                <w:lang w:val="en-US"/>
              </w:rPr>
              <m:t>e</m:t>
            </m:r>
          </m:e>
          <m:sup>
            <m:r>
              <w:rPr>
                <w:rFonts w:ascii="Cambria Math" w:hAnsi="Cambria Math"/>
                <w:lang w:val="en-US"/>
              </w:rPr>
              <m:t>-</m:t>
            </m:r>
          </m:sup>
        </m:sSup>
      </m:oMath>
    </w:p>
    <w:p w:rsidR="00DE532A" w:rsidRPr="007F461E" w:rsidRDefault="00DE532A" w:rsidP="00DE532A">
      <w:pPr>
        <w:ind w:left="1985"/>
        <w:rPr>
          <w:rFonts w:eastAsiaTheme="minorEastAsia"/>
          <w:lang w:val="en-US"/>
        </w:rPr>
      </w:pPr>
      <w:r w:rsidRPr="007F461E">
        <w:rPr>
          <w:rFonts w:eastAsiaTheme="minorEastAsia"/>
          <w:lang w:val="en-US"/>
        </w:rPr>
        <w:t>Redox:</w:t>
      </w:r>
      <w:r w:rsidRPr="007F461E">
        <w:rPr>
          <w:rFonts w:eastAsiaTheme="minorEastAsia"/>
          <w:lang w:val="en-US"/>
        </w:rPr>
        <w:tab/>
      </w:r>
      <w:r w:rsidRPr="007F461E">
        <w:rPr>
          <w:rFonts w:eastAsiaTheme="minorEastAsia"/>
          <w:lang w:val="en-US"/>
        </w:rPr>
        <w:tab/>
      </w:r>
      <m:oMath>
        <m:r>
          <w:rPr>
            <w:rFonts w:ascii="Cambria Math" w:eastAsiaTheme="minorEastAsia" w:hAnsi="Cambria Math"/>
            <w:lang w:val="en-US"/>
          </w:rPr>
          <m:t>2</m:t>
        </m:r>
        <m:r>
          <w:rPr>
            <w:rFonts w:ascii="Cambria Math" w:hAnsi="Cambria Math"/>
            <w:lang w:val="en-US"/>
          </w:rPr>
          <m:t xml:space="preserve"> </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m:rPr>
                        <m:sty m:val="p"/>
                      </m:rPr>
                      <w:rPr>
                        <w:rFonts w:ascii="Cambria Math" w:hAnsi="Cambria Math"/>
                        <w:lang w:val="en-US"/>
                      </w:rPr>
                      <m:t>H</m:t>
                    </m:r>
                  </m:e>
                  <m:sub>
                    <m:r>
                      <w:rPr>
                        <w:rFonts w:ascii="Cambria Math" w:hAnsi="Cambria Math"/>
                        <w:lang w:val="en-US"/>
                      </w:rPr>
                      <m:t>3</m:t>
                    </m:r>
                  </m:sub>
                </m:sSub>
                <m:r>
                  <m:rPr>
                    <m:sty m:val="p"/>
                  </m:rPr>
                  <w:rPr>
                    <w:rFonts w:ascii="Cambria Math" w:hAnsi="Cambria Math"/>
                    <w:lang w:val="en-US"/>
                  </w:rPr>
                  <m:t>O</m:t>
                </m:r>
              </m:e>
              <m:sup>
                <m:r>
                  <w:rPr>
                    <w:rFonts w:ascii="Cambria Math" w:hAnsi="Cambria Math"/>
                    <w:lang w:val="en-US"/>
                  </w:rPr>
                  <m:t>+</m:t>
                </m:r>
              </m:sup>
            </m:sSup>
          </m:e>
          <m:sub>
            <m:d>
              <m:dPr>
                <m:ctrlPr>
                  <w:rPr>
                    <w:rFonts w:ascii="Cambria Math" w:hAnsi="Cambria Math"/>
                  </w:rPr>
                </m:ctrlPr>
              </m:dPr>
              <m:e>
                <m:r>
                  <m:rPr>
                    <m:sty m:val="p"/>
                  </m:rPr>
                  <w:rPr>
                    <w:rFonts w:ascii="Cambria Math" w:hAnsi="Cambria Math"/>
                    <w:lang w:val="en-US"/>
                  </w:rPr>
                  <m:t>aq</m:t>
                </m:r>
              </m:e>
            </m:d>
          </m:sub>
        </m:sSub>
        <m:r>
          <m:rPr>
            <m:sty m:val="p"/>
          </m:rPr>
          <w:rPr>
            <w:rFonts w:ascii="Cambria Math" w:hAnsi="Cambria Math"/>
            <w:lang w:val="en-US"/>
          </w:rPr>
          <m:t xml:space="preserve"> </m:t>
        </m:r>
        <m:r>
          <w:rPr>
            <w:rFonts w:ascii="Cambria Math" w:eastAsiaTheme="minorEastAsia" w:hAnsi="Cambria Math"/>
            <w:lang w:val="en-US"/>
          </w:rPr>
          <m:t>+</m:t>
        </m:r>
        <m:sSub>
          <m:sSubPr>
            <m:ctrlPr>
              <w:rPr>
                <w:rFonts w:ascii="Cambria Math" w:eastAsiaTheme="minorEastAsia" w:hAnsi="Cambria Math"/>
              </w:rPr>
            </m:ctrlPr>
          </m:sSubPr>
          <m:e>
            <m:r>
              <m:rPr>
                <m:sty m:val="p"/>
              </m:rPr>
              <w:rPr>
                <w:rFonts w:ascii="Cambria Math" w:eastAsiaTheme="minorEastAsia" w:hAnsi="Cambria Math"/>
                <w:lang w:val="en-US"/>
              </w:rPr>
              <m:t xml:space="preserve">Zn </m:t>
            </m:r>
          </m:e>
          <m:sub>
            <m:d>
              <m:dPr>
                <m:ctrlPr>
                  <w:rPr>
                    <w:rFonts w:ascii="Cambria Math" w:hAnsi="Cambria Math"/>
                  </w:rPr>
                </m:ctrlPr>
              </m:dPr>
              <m:e>
                <m:r>
                  <m:rPr>
                    <m:sty m:val="p"/>
                  </m:rPr>
                  <w:rPr>
                    <w:rFonts w:ascii="Cambria Math" w:hAnsi="Cambria Math"/>
                    <w:lang w:val="en-US"/>
                  </w:rPr>
                  <m:t>s</m:t>
                </m:r>
              </m:e>
            </m:d>
          </m:sub>
        </m:sSub>
        <m:r>
          <m:rPr>
            <m:sty m:val="p"/>
          </m:rPr>
          <w:rPr>
            <w:rFonts w:ascii="Cambria Math" w:hAnsi="Cambria Math"/>
            <w:lang w:val="en-US"/>
          </w:rPr>
          <m:t xml:space="preserve"> </m:t>
        </m:r>
        <m:r>
          <w:rPr>
            <w:rFonts w:ascii="Cambria Math" w:hAnsi="Cambria Math"/>
            <w:lang w:val="en-US"/>
          </w:rPr>
          <m:t>→</m:t>
        </m:r>
        <m:sSub>
          <m:sSubPr>
            <m:ctrlPr>
              <w:rPr>
                <w:rFonts w:ascii="Cambria Math" w:hAnsi="Cambria Math"/>
              </w:rPr>
            </m:ctrlPr>
          </m:sSubPr>
          <m:e>
            <m:r>
              <m:rPr>
                <m:sty m:val="p"/>
              </m:rPr>
              <w:rPr>
                <w:rFonts w:ascii="Cambria Math" w:hAnsi="Cambria Math"/>
                <w:lang w:val="en-US"/>
              </w:rPr>
              <m:t>H</m:t>
            </m:r>
          </m:e>
          <m:sub>
            <m:r>
              <m:rPr>
                <m:sty m:val="p"/>
              </m:rPr>
              <w:rPr>
                <w:rFonts w:ascii="Cambria Math" w:hAnsi="Cambria Math"/>
                <w:lang w:val="en-US"/>
              </w:rPr>
              <m:t xml:space="preserve">2 </m:t>
            </m:r>
            <m:d>
              <m:dPr>
                <m:ctrlPr>
                  <w:rPr>
                    <w:rFonts w:ascii="Cambria Math" w:hAnsi="Cambria Math"/>
                  </w:rPr>
                </m:ctrlPr>
              </m:dPr>
              <m:e>
                <m:r>
                  <m:rPr>
                    <m:sty m:val="p"/>
                  </m:rPr>
                  <w:rPr>
                    <w:rFonts w:ascii="Cambria Math" w:hAnsi="Cambria Math"/>
                    <w:lang w:val="en-US"/>
                  </w:rPr>
                  <m:t>g</m:t>
                </m:r>
              </m:e>
            </m:d>
          </m:sub>
        </m:sSub>
        <m:r>
          <m:rPr>
            <m:sty m:val="p"/>
          </m:rPr>
          <w:rPr>
            <w:rFonts w:ascii="Cambria Math" w:hAnsi="Cambria Math"/>
            <w:lang w:val="en-US"/>
          </w:rPr>
          <m:t>+</m:t>
        </m:r>
        <m:sSub>
          <m:sSubPr>
            <m:ctrlPr>
              <w:rPr>
                <w:rFonts w:ascii="Cambria Math" w:hAnsi="Cambria Math"/>
                <w:i/>
              </w:rPr>
            </m:ctrlPr>
          </m:sSubPr>
          <m:e>
            <m:sSup>
              <m:sSupPr>
                <m:ctrlPr>
                  <w:rPr>
                    <w:rFonts w:ascii="Cambria Math" w:hAnsi="Cambria Math"/>
                    <w:i/>
                  </w:rPr>
                </m:ctrlPr>
              </m:sSupPr>
              <m:e>
                <m:r>
                  <m:rPr>
                    <m:sty m:val="p"/>
                  </m:rPr>
                  <w:rPr>
                    <w:rFonts w:ascii="Cambria Math" w:hAnsi="Cambria Math"/>
                    <w:lang w:val="en-US"/>
                  </w:rPr>
                  <m:t>Zn</m:t>
                </m:r>
              </m:e>
              <m:sup>
                <m:r>
                  <w:rPr>
                    <w:rFonts w:ascii="Cambria Math" w:hAnsi="Cambria Math"/>
                    <w:lang w:val="en-US"/>
                  </w:rPr>
                  <m:t>2+</m:t>
                </m:r>
              </m:sup>
            </m:sSup>
            <m:r>
              <m:rPr>
                <m:sty m:val="p"/>
              </m:rPr>
              <w:rPr>
                <w:rFonts w:ascii="Cambria Math" w:hAnsi="Cambria Math"/>
                <w:lang w:val="en-US"/>
              </w:rPr>
              <m:t xml:space="preserve"> </m:t>
            </m:r>
          </m:e>
          <m:sub>
            <m:d>
              <m:dPr>
                <m:ctrlPr>
                  <w:rPr>
                    <w:rFonts w:ascii="Cambria Math" w:hAnsi="Cambria Math"/>
                  </w:rPr>
                </m:ctrlPr>
              </m:dPr>
              <m:e>
                <m:r>
                  <m:rPr>
                    <m:sty m:val="p"/>
                  </m:rPr>
                  <w:rPr>
                    <w:rFonts w:ascii="Cambria Math" w:hAnsi="Cambria Math"/>
                    <w:lang w:val="en-US"/>
                  </w:rPr>
                  <m:t>aq</m:t>
                </m:r>
              </m:e>
            </m:d>
          </m:sub>
        </m:sSub>
        <m:r>
          <w:rPr>
            <w:rFonts w:ascii="Cambria Math" w:hAnsi="Cambria Math"/>
            <w:lang w:val="en-US"/>
          </w:rPr>
          <m:t xml:space="preserve">+2 </m:t>
        </m:r>
        <m:sSub>
          <m:sSubPr>
            <m:ctrlPr>
              <w:rPr>
                <w:rFonts w:ascii="Cambria Math" w:hAnsi="Cambria Math"/>
              </w:rPr>
            </m:ctrlPr>
          </m:sSubPr>
          <m:e>
            <m:sSub>
              <m:sSubPr>
                <m:ctrlPr>
                  <w:rPr>
                    <w:rFonts w:ascii="Cambria Math" w:hAnsi="Cambria Math"/>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 xml:space="preserve">O </m:t>
            </m:r>
          </m:e>
          <m:sub>
            <m:d>
              <m:dPr>
                <m:ctrlPr>
                  <w:rPr>
                    <w:rFonts w:ascii="Cambria Math" w:hAnsi="Cambria Math"/>
                  </w:rPr>
                </m:ctrlPr>
              </m:dPr>
              <m:e>
                <m:r>
                  <m:rPr>
                    <m:sty m:val="p"/>
                  </m:rPr>
                  <w:rPr>
                    <w:rFonts w:ascii="Cambria Math" w:hAnsi="Cambria Math"/>
                    <w:lang w:val="en-US"/>
                  </w:rPr>
                  <m:t>l</m:t>
                </m:r>
              </m:e>
            </m:d>
          </m:sub>
        </m:sSub>
      </m:oMath>
    </w:p>
    <w:p w:rsidR="00DE532A" w:rsidRDefault="00DE532A" w:rsidP="00DE532A">
      <w:pPr>
        <w:ind w:left="1985"/>
        <w:rPr>
          <w:rFonts w:eastAsiaTheme="minorEastAsia"/>
        </w:rPr>
      </w:pPr>
      <w:r>
        <w:rPr>
          <w:rFonts w:eastAsiaTheme="minorEastAsia"/>
        </w:rPr>
        <w:t xml:space="preserve">Nach Überschreiten des Löslichkeitsprodukts fallen die gelösten Zink(II)-Ionen mit den </w:t>
      </w:r>
      <w:proofErr w:type="spellStart"/>
      <w:r>
        <w:rPr>
          <w:rFonts w:eastAsiaTheme="minorEastAsia"/>
        </w:rPr>
        <w:t>Chloridionen</w:t>
      </w:r>
      <w:proofErr w:type="spellEnd"/>
      <w:r>
        <w:rPr>
          <w:rFonts w:eastAsiaTheme="minorEastAsia"/>
        </w:rPr>
        <w:t xml:space="preserve"> der Salzsäure als Zink(II)-Chlorid aus.</w:t>
      </w:r>
    </w:p>
    <w:p w:rsidR="00DE532A" w:rsidRDefault="00DE532A" w:rsidP="00DE532A">
      <w:pPr>
        <w:ind w:left="1985"/>
        <w:rPr>
          <w:rFonts w:eastAsiaTheme="minorEastAsia"/>
        </w:rPr>
      </w:pPr>
      <w:r>
        <w:rPr>
          <w:rFonts w:eastAsiaTheme="minorEastAsia"/>
        </w:rPr>
        <w:t>Die Reaktion mit der höchsten Salzsäure-Konzentration läuft am schnellsten ab, die Gasentwicklung ist am größten. Damit eine chemische Reaktion ablaufen kann, sind Teilchenkollisionen mit ausreichender Aktivierungsenergie nötig. Bei größerer Konzentration ist die Zahl der Stöße und damit die Wahrscheinlichkeit einer Reaktion deutlich erhöht. Die Reaktionsgeschwindigkeit ist also abhängig von der Konzentration der beteiligten Stoffe. Je größer die Konzentration, desto schneller läuft die Reaktion ab.</w:t>
      </w:r>
    </w:p>
    <w:p w:rsidR="00DE532A" w:rsidRDefault="00DE532A" w:rsidP="00DE532A">
      <w:pPr>
        <w:ind w:left="1985"/>
        <w:rPr>
          <w:rFonts w:eastAsiaTheme="minorEastAsia"/>
        </w:rPr>
      </w:pPr>
      <w:r>
        <w:rPr>
          <w:rFonts w:eastAsiaTheme="minorEastAsia"/>
        </w:rPr>
        <w:t xml:space="preserve">Wird die Reaktion des Zinkgranulats mit der des Zinkblechs bei gleicher Konzentration der Salzsäure verglichen, läuft die Reaktion mit dem Granulat heftiger, also schneller ab. Bei Reaktionen zwischen zwei Phasen erfolgen die Teilchenkollisionen an der Grenzoberfläche, in diesem Versuch an der Überfläche des Zinks. Bei den </w:t>
      </w:r>
      <w:proofErr w:type="spellStart"/>
      <w:r>
        <w:rPr>
          <w:rFonts w:eastAsiaTheme="minorEastAsia"/>
        </w:rPr>
        <w:t>Zinkgranalien</w:t>
      </w:r>
      <w:proofErr w:type="spellEnd"/>
      <w:r>
        <w:rPr>
          <w:rFonts w:eastAsiaTheme="minorEastAsia"/>
        </w:rPr>
        <w:t xml:space="preserve"> ist die Reaktionsoberfläche </w:t>
      </w:r>
      <w:r>
        <w:rPr>
          <w:rFonts w:eastAsiaTheme="minorEastAsia"/>
        </w:rPr>
        <w:lastRenderedPageBreak/>
        <w:t xml:space="preserve">größer, als beim Blech, somit kommt es zu mehr Stößen und einer schnelleren Reaktion. </w:t>
      </w:r>
    </w:p>
    <w:p w:rsidR="00DE532A" w:rsidRDefault="00DE532A" w:rsidP="00DE532A">
      <w:pPr>
        <w:ind w:left="1985"/>
        <w:rPr>
          <w:rFonts w:eastAsiaTheme="minorEastAsia"/>
        </w:rPr>
      </w:pPr>
      <w:r>
        <w:rPr>
          <w:rFonts w:eastAsiaTheme="minorEastAsia"/>
        </w:rPr>
        <w:t xml:space="preserve">Die Oberflächenvergrößerung kann über den Versuchsteil der </w:t>
      </w:r>
      <w:proofErr w:type="spellStart"/>
      <w:r>
        <w:rPr>
          <w:rFonts w:eastAsiaTheme="minorEastAsia"/>
        </w:rPr>
        <w:t>Ethanolverbrennung</w:t>
      </w:r>
      <w:proofErr w:type="spellEnd"/>
      <w:r>
        <w:rPr>
          <w:rFonts w:eastAsiaTheme="minorEastAsia"/>
        </w:rPr>
        <w:t xml:space="preserve"> verdeutlicht werden. Ethanol reagiert bei vollständiger Verbrennung mit den Luftsauerstoff zu Kohlenstoffdioxid und Wasserdampf.</w:t>
      </w:r>
    </w:p>
    <w:p w:rsidR="00DE532A" w:rsidRPr="00113ECB" w:rsidRDefault="00DE532A" w:rsidP="00DE532A">
      <w:pPr>
        <w:ind w:left="1985"/>
        <w:rPr>
          <w:rFonts w:eastAsiaTheme="minorEastAsia"/>
        </w:rPr>
      </w:pPr>
      <m:oMathPara>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C</m:t>
                  </m:r>
                </m:e>
                <m:sub>
                  <m:r>
                    <w:rPr>
                      <w:rFonts w:ascii="Cambria Math" w:hAnsi="Cambria Math"/>
                    </w:rPr>
                    <m:t>2</m:t>
                  </m:r>
                </m:sub>
              </m:sSub>
              <m:sSub>
                <m:sSubPr>
                  <m:ctrlPr>
                    <w:rPr>
                      <w:rFonts w:ascii="Cambria Math" w:hAnsi="Cambria Math"/>
                    </w:rPr>
                  </m:ctrlPr>
                </m:sSubPr>
                <m:e>
                  <m:r>
                    <m:rPr>
                      <m:sty m:val="p"/>
                    </m:rPr>
                    <w:rPr>
                      <w:rFonts w:ascii="Cambria Math" w:hAnsi="Cambria Math"/>
                    </w:rPr>
                    <m:t>H</m:t>
                  </m:r>
                </m:e>
                <m:sub>
                  <m:r>
                    <w:rPr>
                      <w:rFonts w:ascii="Cambria Math" w:hAnsi="Cambria Math"/>
                    </w:rPr>
                    <m:t>5</m:t>
                  </m:r>
                </m:sub>
              </m:sSub>
              <m:r>
                <m:rPr>
                  <m:sty m:val="p"/>
                </m:rPr>
                <w:rPr>
                  <w:rFonts w:ascii="Cambria Math" w:hAnsi="Cambria Math"/>
                </w:rPr>
                <m:t>OH</m:t>
              </m:r>
            </m:e>
            <m:sub>
              <m:d>
                <m:dPr>
                  <m:ctrlPr>
                    <w:rPr>
                      <w:rFonts w:ascii="Cambria Math" w:hAnsi="Cambria Math"/>
                    </w:rPr>
                  </m:ctrlPr>
                </m:dPr>
                <m:e>
                  <m:r>
                    <m:rPr>
                      <m:sty m:val="p"/>
                    </m:rPr>
                    <w:rPr>
                      <w:rFonts w:ascii="Cambria Math" w:hAnsi="Cambria Math"/>
                    </w:rPr>
                    <m:t>l</m:t>
                  </m:r>
                </m:e>
              </m:d>
            </m:sub>
          </m:sSub>
          <m:r>
            <w:rPr>
              <w:rFonts w:ascii="Cambria Math" w:hAnsi="Cambria Math"/>
            </w:rPr>
            <m:t xml:space="preserve">+3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g</m:t>
                  </m:r>
                </m:e>
              </m:d>
            </m:sub>
          </m:sSub>
          <m:r>
            <w:rPr>
              <w:rFonts w:ascii="Cambria Math" w:hAnsi="Cambria Math"/>
            </w:rPr>
            <m:t xml:space="preserve">→2 </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g</m:t>
                  </m:r>
                </m:e>
              </m:d>
            </m:sub>
          </m:sSub>
          <m:r>
            <m:rPr>
              <m:sty m:val="p"/>
            </m:rPr>
            <w:rPr>
              <w:rFonts w:ascii="Cambria Math" w:hAnsi="Cambria Math"/>
            </w:rPr>
            <m:t xml:space="preserve">+3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O </m:t>
              </m:r>
            </m:e>
            <m:sub>
              <m:d>
                <m:dPr>
                  <m:ctrlPr>
                    <w:rPr>
                      <w:rFonts w:ascii="Cambria Math" w:hAnsi="Cambria Math"/>
                    </w:rPr>
                  </m:ctrlPr>
                </m:dPr>
                <m:e>
                  <m:r>
                    <m:rPr>
                      <m:sty m:val="p"/>
                    </m:rPr>
                    <w:rPr>
                      <w:rFonts w:ascii="Cambria Math" w:hAnsi="Cambria Math"/>
                    </w:rPr>
                    <m:t>g</m:t>
                  </m:r>
                </m:e>
              </m:d>
            </m:sub>
          </m:sSub>
        </m:oMath>
      </m:oMathPara>
    </w:p>
    <w:p w:rsidR="00DE532A" w:rsidRDefault="00DE532A" w:rsidP="00DE532A">
      <w:pPr>
        <w:tabs>
          <w:tab w:val="left" w:pos="1985"/>
        </w:tabs>
        <w:ind w:left="1985" w:hanging="1985"/>
        <w:jc w:val="left"/>
      </w:pPr>
      <w:r>
        <w:tab/>
        <w:t>Im Tiegel ist die Reaktionsoberfläche begrenzt durch den Durchmesser des Tiegels. Auf der feuerfesten Unterlage verteilt sich das Ethanol breiter, die Oberfläche, an der die Reaktion mit Sauerstoff stattfinden kann, ist deutlich vergrößert. Die Zeit der vollständigen Umsetzung von Ethanol zeigt, dass die Reaktion hier sehr viel schneller abläuft, als im Tiegel.</w:t>
      </w:r>
    </w:p>
    <w:p w:rsidR="00DE532A" w:rsidRDefault="00DE532A" w:rsidP="00DE532A">
      <w:pPr>
        <w:tabs>
          <w:tab w:val="left" w:pos="1985"/>
        </w:tabs>
        <w:ind w:left="1985" w:hanging="1985"/>
        <w:jc w:val="left"/>
      </w:pPr>
      <w:r>
        <w:t>Entsorgung:</w:t>
      </w:r>
      <w:r>
        <w:tab/>
        <w:t>Die Salzsäure-Lösungen können mit viel Wasser verdünnt über den Ausguss entsorgt werden.</w:t>
      </w:r>
    </w:p>
    <w:p w:rsidR="00DE532A" w:rsidRDefault="00DE532A" w:rsidP="00DE532A">
      <w:pPr>
        <w:ind w:left="1985" w:hanging="1985"/>
        <w:jc w:val="left"/>
      </w:pPr>
      <w:r>
        <w:t>Literatur:</w:t>
      </w:r>
      <w:r>
        <w:tab/>
        <w:t>Bayerischer Rundfunk: Chemie - 6. Folge: Reaktionsgeschwindigkeit | BR.de. Online verfügbar unter http://www.br.de/telekolleg/faecher/chemie/telekolleg-chemie-06-reaktionsgeschwindigkeit-100.html, zuletzt geprüft am 04.08.2016.</w:t>
      </w:r>
    </w:p>
    <w:p w:rsidR="00DE532A" w:rsidRDefault="00DE532A" w:rsidP="00DE532A">
      <w:pPr>
        <w:ind w:left="1985" w:hanging="1985"/>
        <w:jc w:val="left"/>
        <w:rPr>
          <w:rFonts w:asciiTheme="majorHAnsi" w:hAnsiTheme="majorHAnsi"/>
        </w:rPr>
      </w:pPr>
      <w:r>
        <w:tab/>
        <w:t>Bayerischer Rundfunk (</w:t>
      </w:r>
      <w:proofErr w:type="spellStart"/>
      <w:r>
        <w:t>Hg</w:t>
      </w:r>
      <w:proofErr w:type="spellEnd"/>
      <w:r>
        <w:t>.): Telekolleg II. 16. Chemie - Reaktionsgeschwindigkeit - YouTube. Online verfügbar unter https://www.youtube.com/watch?v=pWqWdysFoHc, zuletzt geprüft am 04.08.2016.</w:t>
      </w:r>
    </w:p>
    <w:p w:rsidR="00DE532A" w:rsidRPr="00395B7A" w:rsidRDefault="00DE532A" w:rsidP="00DE532A">
      <w:pPr>
        <w:spacing w:line="276" w:lineRule="auto"/>
        <w:ind w:left="2127" w:hanging="2127"/>
        <w:jc w:val="left"/>
        <w:rPr>
          <w:rFonts w:asciiTheme="majorHAnsi" w:hAnsiTheme="majorHAnsi"/>
        </w:rPr>
      </w:pPr>
    </w:p>
    <w:p w:rsidR="00DE532A" w:rsidRDefault="00DE532A" w:rsidP="00DE532A">
      <w:pPr>
        <w:tabs>
          <w:tab w:val="left" w:pos="1701"/>
          <w:tab w:val="left" w:pos="1985"/>
        </w:tabs>
        <w:ind w:left="1980" w:hanging="1980"/>
      </w:pPr>
      <w:r>
        <w:rPr>
          <w:noProof/>
          <w:lang w:eastAsia="de-DE"/>
        </w:rPr>
        <mc:AlternateContent>
          <mc:Choice Requires="wps">
            <w:drawing>
              <wp:inline distT="0" distB="0" distL="0" distR="0" wp14:anchorId="0E645862" wp14:editId="3A9F66B1">
                <wp:extent cx="5873115" cy="1059255"/>
                <wp:effectExtent l="0" t="0" r="13335" b="26670"/>
                <wp:docPr id="4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92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532A" w:rsidRDefault="00DE532A" w:rsidP="00DE532A">
                            <w:pPr>
                              <w:rPr>
                                <w:color w:val="auto"/>
                              </w:rPr>
                            </w:pPr>
                            <w:r w:rsidRPr="00F31EBF">
                              <w:rPr>
                                <w:b/>
                                <w:color w:val="auto"/>
                              </w:rPr>
                              <w:t>Unterrichtsanschlüsse</w:t>
                            </w:r>
                            <w:r>
                              <w:rPr>
                                <w:b/>
                                <w:color w:val="auto"/>
                              </w:rPr>
                              <w:t>:</w:t>
                            </w:r>
                            <w:r w:rsidRPr="00580AF4">
                              <w:rPr>
                                <w:color w:val="auto"/>
                              </w:rPr>
                              <w:t xml:space="preserve"> </w:t>
                            </w:r>
                            <w:r>
                              <w:rPr>
                                <w:color w:val="auto"/>
                              </w:rPr>
                              <w:t>Der Versuch dient als Demonstrationsexperiment zur Veranschaulichung der Einflussparameter auf die Reaktionsgeschwindigkeit. Er bietet als qualitative Betrachtung eine alternative zu volumetrischen Bestimmung der Reaktionsgeschwindigkeit von Säuren mit Metallen bei verschiedenen Einflussfaktoren.</w:t>
                            </w:r>
                          </w:p>
                        </w:txbxContent>
                      </wps:txbx>
                      <wps:bodyPr rot="0" vert="horz" wrap="square" lIns="91440" tIns="45720" rIns="91440" bIns="45720" anchor="t" anchorCtr="0" upright="1">
                        <a:noAutofit/>
                      </wps:bodyPr>
                    </wps:wsp>
                  </a:graphicData>
                </a:graphic>
              </wp:inline>
            </w:drawing>
          </mc:Choice>
          <mc:Fallback>
            <w:pict>
              <v:shape w14:anchorId="0E645862" id="Text Box 234" o:spid="_x0000_s1027" type="#_x0000_t202" style="width:462.45pt;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" fillcolor="white [3201]" strokecolor="#ed7d31 [3205]" strokeweight="1pt">
                <v:stroke dashstyle="dash"/>
                <v:shadow color="#868686"/>
                <v:textbox>
                  <w:txbxContent>
                    <w:p w:rsidR="00DE532A" w:rsidRDefault="00DE532A" w:rsidP="00DE532A">
                      <w:pPr>
                        <w:rPr>
                          <w:color w:val="auto"/>
                        </w:rPr>
                      </w:pPr>
                      <w:r w:rsidRPr="00F31EBF">
                        <w:rPr>
                          <w:b/>
                          <w:color w:val="auto"/>
                        </w:rPr>
                        <w:t>Unterrichtsanschlüsse</w:t>
                      </w:r>
                      <w:r>
                        <w:rPr>
                          <w:b/>
                          <w:color w:val="auto"/>
                        </w:rPr>
                        <w:t>:</w:t>
                      </w:r>
                      <w:r w:rsidRPr="00580AF4">
                        <w:rPr>
                          <w:color w:val="auto"/>
                        </w:rPr>
                        <w:t xml:space="preserve"> </w:t>
                      </w:r>
                      <w:r>
                        <w:rPr>
                          <w:color w:val="auto"/>
                        </w:rPr>
                        <w:t>Der Versuch dient als Demonstrationsexperiment zur Veranschaulichung der Einflussparameter auf die Reaktionsgeschwindigkeit. Er bietet als qualitative Betrachtung eine alternative zu volumetrischen Bestimmung der Reaktionsgeschwindigkeit von Säuren mit Metallen bei verschiedenen Einflussfaktoren.</w:t>
                      </w:r>
                    </w:p>
                  </w:txbxContent>
                </v:textbox>
                <w10:anchorlock/>
              </v:shape>
            </w:pict>
          </mc:Fallback>
        </mc:AlternateContent>
      </w:r>
    </w:p>
    <w:p w:rsidR="00ED41A2" w:rsidRDefault="00ED41A2" w:rsidP="00DE532A">
      <w:pPr>
        <w:spacing w:line="276" w:lineRule="auto"/>
        <w:jc w:val="left"/>
      </w:pPr>
    </w:p>
    <w:sectPr w:rsidR="00ED41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2A"/>
    <w:rsid w:val="00074926"/>
    <w:rsid w:val="000D1C49"/>
    <w:rsid w:val="00656137"/>
    <w:rsid w:val="00DE532A"/>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6BE5"/>
  <w15:chartTrackingRefBased/>
  <w15:docId w15:val="{1B8B4D82-E3BB-43E4-A416-EF5224F2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E532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E532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E532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DE532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E532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E532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E532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E532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E532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E532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532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E532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E532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E532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E532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E532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E532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E532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E532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E532A"/>
    <w:pPr>
      <w:spacing w:line="240" w:lineRule="auto"/>
      <w:jc w:val="center"/>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3908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1</cp:revision>
  <dcterms:created xsi:type="dcterms:W3CDTF">2016-08-10T13:03:00Z</dcterms:created>
  <dcterms:modified xsi:type="dcterms:W3CDTF">2016-08-10T13:06:00Z</dcterms:modified>
</cp:coreProperties>
</file>