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D3" w:rsidRPr="008F798B" w:rsidRDefault="008978D3" w:rsidP="00192413">
      <w:pPr>
        <w:pStyle w:val="berschrift2"/>
        <w:numPr>
          <w:ilvl w:val="0"/>
          <w:numId w:val="0"/>
        </w:numPr>
        <w:rPr>
          <w:color w:val="auto"/>
        </w:rPr>
      </w:pPr>
      <w:bookmarkStart w:id="0" w:name="_Toc458101942"/>
      <w:r>
        <w:rPr>
          <w:noProof/>
          <w:lang w:eastAsia="de-DE"/>
        </w:rPr>
        <mc:AlternateContent>
          <mc:Choice Requires="wps">
            <w:drawing>
              <wp:anchor distT="0" distB="0" distL="114300" distR="114300" simplePos="0" relativeHeight="251659264" behindDoc="0" locked="0" layoutInCell="1" allowOverlap="1" wp14:anchorId="0AC44646" wp14:editId="26C88F52">
                <wp:simplePos x="0" y="0"/>
                <wp:positionH relativeFrom="column">
                  <wp:posOffset>-58420</wp:posOffset>
                </wp:positionH>
                <wp:positionV relativeFrom="paragraph">
                  <wp:posOffset>466725</wp:posOffset>
                </wp:positionV>
                <wp:extent cx="5873115" cy="624205"/>
                <wp:effectExtent l="0" t="0" r="13335" b="23495"/>
                <wp:wrapSquare wrapText="bothSides"/>
                <wp:docPr id="4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624205"/>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78D3" w:rsidRPr="00F31EBF" w:rsidRDefault="008978D3" w:rsidP="008978D3">
                            <w:pPr>
                              <w:rPr>
                                <w:color w:val="auto"/>
                              </w:rPr>
                            </w:pPr>
                            <w:r>
                              <w:rPr>
                                <w:color w:val="auto"/>
                              </w:rPr>
                              <w:t>In diesem Versuch wird die enzymatische Aktivität beim Abbau von Zuckern in Abhängigkeit der Edukte und der Temperatur qualitativ untersucht.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AC44646" id="_x0000_t202" coordsize="21600,21600" o:spt="202" path="m,l,21600r21600,l21600,xe">
                <v:stroke joinstyle="miter"/>
                <v:path gradientshapeok="t" o:connecttype="rect"/>
              </v:shapetype>
              <v:shape id="Text Box 193" o:spid="_x0000_s1026" type="#_x0000_t202" style="position:absolute;left:0;text-align:left;margin-left:-4.6pt;margin-top:36.75pt;width:462.45pt;height:4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" fillcolor="white [3201]" strokecolor="#4472c4 [3208]" strokeweight="1pt">
                <v:stroke dashstyle="dash"/>
                <v:shadow color="#868686"/>
                <v:textbox>
                  <w:txbxContent>
                    <w:p w:rsidR="008978D3" w:rsidRPr="00F31EBF" w:rsidRDefault="008978D3" w:rsidP="008978D3">
                      <w:pPr>
                        <w:rPr>
                          <w:color w:val="auto"/>
                        </w:rPr>
                      </w:pPr>
                      <w:r>
                        <w:rPr>
                          <w:color w:val="auto"/>
                        </w:rPr>
                        <w:t>In diesem Versuch wird die enzymatische Aktivität beim Abbau von Zuckern in Abhängigkeit der Edukte und der Temperatur qualitativ untersucht.</w:t>
                      </w:r>
                    </w:p>
                  </w:txbxContent>
                </v:textbox>
                <w10:wrap type="square"/>
              </v:shape>
            </w:pict>
          </mc:Fallback>
        </mc:AlternateContent>
      </w:r>
      <w:r w:rsidRPr="00CC307A">
        <w:rPr>
          <w:color w:val="auto"/>
        </w:rPr>
        <w:t>V</w:t>
      </w:r>
      <w:bookmarkStart w:id="1" w:name="_GoBack"/>
      <w:bookmarkEnd w:id="1"/>
      <w:r>
        <w:rPr>
          <w:color w:val="auto"/>
        </w:rPr>
        <w:t>2</w:t>
      </w:r>
      <w:r w:rsidRPr="00CC307A">
        <w:rPr>
          <w:color w:val="auto"/>
        </w:rPr>
        <w:t xml:space="preserve"> –</w:t>
      </w:r>
      <w:r>
        <w:rPr>
          <w:color w:val="auto"/>
        </w:rPr>
        <w:t xml:space="preserve"> Einfluss auf die Enzymaktivität</w:t>
      </w:r>
      <w:bookmarkEnd w:id="0"/>
    </w:p>
    <w:p w:rsidR="008978D3" w:rsidRDefault="008978D3" w:rsidP="008978D3"/>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8978D3" w:rsidRPr="009C5E28" w:rsidTr="00527E73">
        <w:tc>
          <w:tcPr>
            <w:tcW w:w="9322" w:type="dxa"/>
            <w:gridSpan w:val="9"/>
            <w:shd w:val="clear" w:color="auto" w:fill="4F81BD"/>
            <w:vAlign w:val="center"/>
          </w:tcPr>
          <w:p w:rsidR="008978D3" w:rsidRPr="00F31EBF" w:rsidRDefault="008978D3" w:rsidP="00527E73">
            <w:pPr>
              <w:spacing w:after="0"/>
              <w:jc w:val="center"/>
              <w:rPr>
                <w:b/>
                <w:bCs/>
                <w:color w:val="FFFFFF" w:themeColor="background1"/>
              </w:rPr>
            </w:pPr>
            <w:r w:rsidRPr="00F31EBF">
              <w:rPr>
                <w:b/>
                <w:bCs/>
                <w:color w:val="FFFFFF" w:themeColor="background1"/>
              </w:rPr>
              <w:t>Gefahrenstoffe</w:t>
            </w:r>
          </w:p>
        </w:tc>
      </w:tr>
      <w:tr w:rsidR="008978D3" w:rsidRPr="009C5E28" w:rsidTr="00527E73">
        <w:trPr>
          <w:trHeight w:val="437"/>
        </w:trPr>
        <w:tc>
          <w:tcPr>
            <w:tcW w:w="3027" w:type="dxa"/>
            <w:gridSpan w:val="3"/>
            <w:shd w:val="clear" w:color="auto" w:fill="auto"/>
            <w:vAlign w:val="center"/>
          </w:tcPr>
          <w:p w:rsidR="008978D3" w:rsidRPr="001A6690" w:rsidRDefault="008978D3" w:rsidP="00527E73">
            <w:pPr>
              <w:spacing w:after="0" w:line="276" w:lineRule="auto"/>
              <w:jc w:val="center"/>
              <w:rPr>
                <w:bCs/>
                <w:sz w:val="20"/>
                <w:szCs w:val="20"/>
              </w:rPr>
            </w:pPr>
            <w:r>
              <w:rPr>
                <w:bCs/>
                <w:sz w:val="20"/>
                <w:szCs w:val="20"/>
              </w:rPr>
              <w:t>frische Bäckerhefe</w:t>
            </w:r>
          </w:p>
        </w:tc>
        <w:tc>
          <w:tcPr>
            <w:tcW w:w="3177" w:type="dxa"/>
            <w:gridSpan w:val="3"/>
            <w:shd w:val="clear" w:color="auto" w:fill="auto"/>
            <w:vAlign w:val="center"/>
          </w:tcPr>
          <w:p w:rsidR="008978D3" w:rsidRPr="001A6690" w:rsidRDefault="008978D3" w:rsidP="00527E73">
            <w:pPr>
              <w:spacing w:after="0"/>
              <w:jc w:val="center"/>
              <w:rPr>
                <w:sz w:val="20"/>
                <w:szCs w:val="20"/>
              </w:rPr>
            </w:pPr>
            <w:r w:rsidRPr="001A6690">
              <w:rPr>
                <w:sz w:val="20"/>
                <w:szCs w:val="20"/>
              </w:rPr>
              <w:t>H: -</w:t>
            </w:r>
          </w:p>
        </w:tc>
        <w:tc>
          <w:tcPr>
            <w:tcW w:w="3118" w:type="dxa"/>
            <w:gridSpan w:val="3"/>
            <w:shd w:val="clear" w:color="auto" w:fill="auto"/>
            <w:vAlign w:val="center"/>
          </w:tcPr>
          <w:p w:rsidR="008978D3" w:rsidRPr="001A6690" w:rsidRDefault="008978D3" w:rsidP="00527E73">
            <w:pPr>
              <w:spacing w:after="0"/>
              <w:jc w:val="center"/>
              <w:rPr>
                <w:sz w:val="20"/>
                <w:szCs w:val="20"/>
              </w:rPr>
            </w:pPr>
            <w:r w:rsidRPr="001A6690">
              <w:rPr>
                <w:sz w:val="20"/>
                <w:szCs w:val="20"/>
              </w:rPr>
              <w:t>P: -</w:t>
            </w:r>
          </w:p>
        </w:tc>
      </w:tr>
      <w:tr w:rsidR="008978D3" w:rsidRPr="009C5E28" w:rsidTr="00527E73">
        <w:trPr>
          <w:trHeight w:val="437"/>
        </w:trPr>
        <w:tc>
          <w:tcPr>
            <w:tcW w:w="3027" w:type="dxa"/>
            <w:gridSpan w:val="3"/>
            <w:shd w:val="clear" w:color="auto" w:fill="auto"/>
            <w:vAlign w:val="center"/>
          </w:tcPr>
          <w:p w:rsidR="008978D3" w:rsidRDefault="008978D3" w:rsidP="00527E73">
            <w:pPr>
              <w:spacing w:after="0" w:line="276" w:lineRule="auto"/>
              <w:jc w:val="center"/>
              <w:rPr>
                <w:bCs/>
                <w:sz w:val="20"/>
                <w:szCs w:val="20"/>
              </w:rPr>
            </w:pPr>
            <w:r>
              <w:rPr>
                <w:bCs/>
                <w:sz w:val="20"/>
                <w:szCs w:val="20"/>
              </w:rPr>
              <w:t>Glucose</w:t>
            </w:r>
          </w:p>
        </w:tc>
        <w:tc>
          <w:tcPr>
            <w:tcW w:w="3177" w:type="dxa"/>
            <w:gridSpan w:val="3"/>
            <w:shd w:val="clear" w:color="auto" w:fill="auto"/>
            <w:vAlign w:val="center"/>
          </w:tcPr>
          <w:p w:rsidR="008978D3" w:rsidRPr="001A6690" w:rsidRDefault="008978D3" w:rsidP="00527E73">
            <w:pPr>
              <w:spacing w:after="0"/>
              <w:jc w:val="center"/>
              <w:rPr>
                <w:sz w:val="20"/>
                <w:szCs w:val="20"/>
              </w:rPr>
            </w:pPr>
            <w:r>
              <w:rPr>
                <w:sz w:val="20"/>
                <w:szCs w:val="20"/>
              </w:rPr>
              <w:t>H: -</w:t>
            </w:r>
          </w:p>
        </w:tc>
        <w:tc>
          <w:tcPr>
            <w:tcW w:w="3118" w:type="dxa"/>
            <w:gridSpan w:val="3"/>
            <w:shd w:val="clear" w:color="auto" w:fill="auto"/>
            <w:vAlign w:val="center"/>
          </w:tcPr>
          <w:p w:rsidR="008978D3" w:rsidRPr="001A6690" w:rsidRDefault="008978D3" w:rsidP="00527E73">
            <w:pPr>
              <w:spacing w:after="0"/>
              <w:jc w:val="center"/>
              <w:rPr>
                <w:sz w:val="20"/>
                <w:szCs w:val="20"/>
              </w:rPr>
            </w:pPr>
            <w:r>
              <w:rPr>
                <w:sz w:val="20"/>
                <w:szCs w:val="20"/>
              </w:rPr>
              <w:t>P: -</w:t>
            </w:r>
          </w:p>
        </w:tc>
      </w:tr>
      <w:tr w:rsidR="008978D3" w:rsidRPr="009C5E28" w:rsidTr="00527E73">
        <w:trPr>
          <w:trHeight w:val="437"/>
        </w:trPr>
        <w:tc>
          <w:tcPr>
            <w:tcW w:w="3027" w:type="dxa"/>
            <w:gridSpan w:val="3"/>
            <w:shd w:val="clear" w:color="auto" w:fill="auto"/>
            <w:vAlign w:val="center"/>
          </w:tcPr>
          <w:p w:rsidR="008978D3" w:rsidRDefault="008978D3" w:rsidP="00527E73">
            <w:pPr>
              <w:spacing w:after="0" w:line="276" w:lineRule="auto"/>
              <w:jc w:val="center"/>
              <w:rPr>
                <w:bCs/>
                <w:sz w:val="20"/>
                <w:szCs w:val="20"/>
              </w:rPr>
            </w:pPr>
            <w:r>
              <w:rPr>
                <w:bCs/>
                <w:sz w:val="20"/>
                <w:szCs w:val="20"/>
              </w:rPr>
              <w:t>Fructose</w:t>
            </w:r>
          </w:p>
        </w:tc>
        <w:tc>
          <w:tcPr>
            <w:tcW w:w="3177" w:type="dxa"/>
            <w:gridSpan w:val="3"/>
            <w:shd w:val="clear" w:color="auto" w:fill="auto"/>
            <w:vAlign w:val="center"/>
          </w:tcPr>
          <w:p w:rsidR="008978D3" w:rsidRPr="001A6690" w:rsidRDefault="008978D3" w:rsidP="00527E73">
            <w:pPr>
              <w:spacing w:after="0"/>
              <w:jc w:val="center"/>
              <w:rPr>
                <w:sz w:val="20"/>
                <w:szCs w:val="20"/>
              </w:rPr>
            </w:pPr>
            <w:r>
              <w:rPr>
                <w:sz w:val="20"/>
                <w:szCs w:val="20"/>
              </w:rPr>
              <w:t>H: -</w:t>
            </w:r>
          </w:p>
        </w:tc>
        <w:tc>
          <w:tcPr>
            <w:tcW w:w="3118" w:type="dxa"/>
            <w:gridSpan w:val="3"/>
            <w:shd w:val="clear" w:color="auto" w:fill="auto"/>
            <w:vAlign w:val="center"/>
          </w:tcPr>
          <w:p w:rsidR="008978D3" w:rsidRPr="001A6690" w:rsidRDefault="008978D3" w:rsidP="00527E73">
            <w:pPr>
              <w:spacing w:after="0"/>
              <w:jc w:val="center"/>
              <w:rPr>
                <w:sz w:val="20"/>
                <w:szCs w:val="20"/>
              </w:rPr>
            </w:pPr>
            <w:r>
              <w:rPr>
                <w:sz w:val="20"/>
                <w:szCs w:val="20"/>
              </w:rPr>
              <w:t>P: -</w:t>
            </w:r>
          </w:p>
        </w:tc>
      </w:tr>
      <w:tr w:rsidR="008978D3" w:rsidRPr="009C5E28" w:rsidTr="00527E73">
        <w:trPr>
          <w:trHeight w:val="437"/>
        </w:trPr>
        <w:tc>
          <w:tcPr>
            <w:tcW w:w="3027" w:type="dxa"/>
            <w:gridSpan w:val="3"/>
            <w:shd w:val="clear" w:color="auto" w:fill="auto"/>
            <w:vAlign w:val="center"/>
          </w:tcPr>
          <w:p w:rsidR="008978D3" w:rsidRDefault="008978D3" w:rsidP="00527E73">
            <w:pPr>
              <w:spacing w:after="0" w:line="276" w:lineRule="auto"/>
              <w:jc w:val="center"/>
              <w:rPr>
                <w:bCs/>
                <w:sz w:val="20"/>
                <w:szCs w:val="20"/>
              </w:rPr>
            </w:pPr>
            <w:r>
              <w:rPr>
                <w:bCs/>
                <w:sz w:val="20"/>
                <w:szCs w:val="20"/>
              </w:rPr>
              <w:t>Saccharose</w:t>
            </w:r>
          </w:p>
        </w:tc>
        <w:tc>
          <w:tcPr>
            <w:tcW w:w="3177" w:type="dxa"/>
            <w:gridSpan w:val="3"/>
            <w:shd w:val="clear" w:color="auto" w:fill="auto"/>
            <w:vAlign w:val="center"/>
          </w:tcPr>
          <w:p w:rsidR="008978D3" w:rsidRPr="001A6690" w:rsidRDefault="008978D3" w:rsidP="00527E73">
            <w:pPr>
              <w:spacing w:after="0"/>
              <w:jc w:val="center"/>
              <w:rPr>
                <w:sz w:val="20"/>
                <w:szCs w:val="20"/>
              </w:rPr>
            </w:pPr>
            <w:r w:rsidRPr="009C5E28">
              <w:rPr>
                <w:sz w:val="20"/>
              </w:rPr>
              <w:t>H:</w:t>
            </w:r>
            <w:r>
              <w:rPr>
                <w:sz w:val="20"/>
              </w:rPr>
              <w:t xml:space="preserve"> -</w:t>
            </w:r>
          </w:p>
        </w:tc>
        <w:tc>
          <w:tcPr>
            <w:tcW w:w="3118" w:type="dxa"/>
            <w:gridSpan w:val="3"/>
            <w:shd w:val="clear" w:color="auto" w:fill="auto"/>
            <w:vAlign w:val="center"/>
          </w:tcPr>
          <w:p w:rsidR="008978D3" w:rsidRPr="001A6690" w:rsidRDefault="008978D3" w:rsidP="00527E73">
            <w:pPr>
              <w:spacing w:after="0"/>
              <w:jc w:val="center"/>
              <w:rPr>
                <w:sz w:val="20"/>
                <w:szCs w:val="20"/>
              </w:rPr>
            </w:pPr>
            <w:r w:rsidRPr="009C5E28">
              <w:rPr>
                <w:sz w:val="20"/>
              </w:rPr>
              <w:t>P:</w:t>
            </w:r>
            <w:r>
              <w:rPr>
                <w:sz w:val="20"/>
              </w:rPr>
              <w:t xml:space="preserve"> -</w:t>
            </w:r>
          </w:p>
        </w:tc>
      </w:tr>
      <w:tr w:rsidR="008978D3" w:rsidRPr="009C5E28" w:rsidTr="00527E73">
        <w:trPr>
          <w:trHeight w:val="437"/>
        </w:trPr>
        <w:tc>
          <w:tcPr>
            <w:tcW w:w="3027" w:type="dxa"/>
            <w:gridSpan w:val="3"/>
            <w:shd w:val="clear" w:color="auto" w:fill="auto"/>
            <w:vAlign w:val="center"/>
          </w:tcPr>
          <w:p w:rsidR="008978D3" w:rsidRPr="001A6690" w:rsidRDefault="008978D3" w:rsidP="00527E73">
            <w:pPr>
              <w:spacing w:after="0" w:line="276" w:lineRule="auto"/>
              <w:jc w:val="center"/>
              <w:rPr>
                <w:bCs/>
                <w:sz w:val="20"/>
                <w:szCs w:val="20"/>
              </w:rPr>
            </w:pPr>
            <w:r>
              <w:rPr>
                <w:bCs/>
                <w:sz w:val="20"/>
                <w:szCs w:val="20"/>
              </w:rPr>
              <w:t>Wasser</w:t>
            </w:r>
          </w:p>
        </w:tc>
        <w:tc>
          <w:tcPr>
            <w:tcW w:w="3177" w:type="dxa"/>
            <w:gridSpan w:val="3"/>
            <w:shd w:val="clear" w:color="auto" w:fill="auto"/>
            <w:vAlign w:val="center"/>
          </w:tcPr>
          <w:p w:rsidR="008978D3" w:rsidRPr="001A6690" w:rsidRDefault="008978D3" w:rsidP="00527E73">
            <w:pPr>
              <w:spacing w:after="0"/>
              <w:jc w:val="center"/>
              <w:rPr>
                <w:sz w:val="20"/>
                <w:szCs w:val="20"/>
              </w:rPr>
            </w:pPr>
            <w:r>
              <w:rPr>
                <w:sz w:val="20"/>
                <w:szCs w:val="20"/>
              </w:rPr>
              <w:t>H: -</w:t>
            </w:r>
          </w:p>
        </w:tc>
        <w:tc>
          <w:tcPr>
            <w:tcW w:w="3118" w:type="dxa"/>
            <w:gridSpan w:val="3"/>
            <w:shd w:val="clear" w:color="auto" w:fill="auto"/>
            <w:vAlign w:val="center"/>
          </w:tcPr>
          <w:p w:rsidR="008978D3" w:rsidRPr="001A6690" w:rsidRDefault="008978D3" w:rsidP="00527E73">
            <w:pPr>
              <w:spacing w:after="0"/>
              <w:jc w:val="center"/>
              <w:rPr>
                <w:sz w:val="20"/>
                <w:szCs w:val="20"/>
              </w:rPr>
            </w:pPr>
            <w:r>
              <w:rPr>
                <w:sz w:val="20"/>
                <w:szCs w:val="20"/>
              </w:rPr>
              <w:t>P: -</w:t>
            </w:r>
          </w:p>
        </w:tc>
      </w:tr>
      <w:tr w:rsidR="008978D3" w:rsidRPr="009C5E28" w:rsidTr="00527E73">
        <w:trPr>
          <w:trHeight w:val="437"/>
        </w:trPr>
        <w:tc>
          <w:tcPr>
            <w:tcW w:w="3027" w:type="dxa"/>
            <w:gridSpan w:val="3"/>
            <w:shd w:val="clear" w:color="auto" w:fill="auto"/>
            <w:vAlign w:val="center"/>
          </w:tcPr>
          <w:p w:rsidR="008978D3" w:rsidRDefault="008978D3" w:rsidP="00527E73">
            <w:pPr>
              <w:spacing w:after="0" w:line="276" w:lineRule="auto"/>
              <w:jc w:val="center"/>
              <w:rPr>
                <w:bCs/>
                <w:sz w:val="20"/>
                <w:szCs w:val="20"/>
              </w:rPr>
            </w:pPr>
            <w:r>
              <w:rPr>
                <w:bCs/>
                <w:sz w:val="20"/>
                <w:szCs w:val="20"/>
              </w:rPr>
              <w:t>Kohlenstoffdioxid</w:t>
            </w:r>
          </w:p>
        </w:tc>
        <w:tc>
          <w:tcPr>
            <w:tcW w:w="3177" w:type="dxa"/>
            <w:gridSpan w:val="3"/>
            <w:shd w:val="clear" w:color="auto" w:fill="auto"/>
            <w:vAlign w:val="center"/>
          </w:tcPr>
          <w:p w:rsidR="008978D3" w:rsidRDefault="008978D3" w:rsidP="00527E73">
            <w:pPr>
              <w:spacing w:after="0"/>
              <w:jc w:val="center"/>
              <w:rPr>
                <w:sz w:val="20"/>
                <w:szCs w:val="20"/>
              </w:rPr>
            </w:pPr>
            <w:r>
              <w:rPr>
                <w:sz w:val="20"/>
                <w:szCs w:val="20"/>
              </w:rPr>
              <w:t>H: -</w:t>
            </w:r>
          </w:p>
        </w:tc>
        <w:tc>
          <w:tcPr>
            <w:tcW w:w="3118" w:type="dxa"/>
            <w:gridSpan w:val="3"/>
            <w:shd w:val="clear" w:color="auto" w:fill="auto"/>
            <w:vAlign w:val="center"/>
          </w:tcPr>
          <w:p w:rsidR="008978D3" w:rsidRDefault="008978D3" w:rsidP="00527E73">
            <w:pPr>
              <w:spacing w:after="0"/>
              <w:jc w:val="center"/>
              <w:rPr>
                <w:sz w:val="20"/>
                <w:szCs w:val="20"/>
              </w:rPr>
            </w:pPr>
            <w:r>
              <w:rPr>
                <w:sz w:val="20"/>
                <w:szCs w:val="20"/>
              </w:rPr>
              <w:t>P: -</w:t>
            </w:r>
          </w:p>
        </w:tc>
      </w:tr>
      <w:tr w:rsidR="008978D3" w:rsidRPr="009C5E28" w:rsidTr="00527E73">
        <w:tc>
          <w:tcPr>
            <w:tcW w:w="1009" w:type="dxa"/>
            <w:shd w:val="clear" w:color="auto" w:fill="auto"/>
            <w:vAlign w:val="center"/>
          </w:tcPr>
          <w:p w:rsidR="008978D3" w:rsidRPr="009C5E28" w:rsidRDefault="008978D3" w:rsidP="00527E73">
            <w:pPr>
              <w:spacing w:after="0"/>
              <w:jc w:val="center"/>
              <w:rPr>
                <w:b/>
                <w:bCs/>
              </w:rPr>
            </w:pPr>
            <w:r>
              <w:rPr>
                <w:b/>
                <w:bCs/>
                <w:noProof/>
                <w:lang w:eastAsia="de-DE"/>
              </w:rPr>
              <w:drawing>
                <wp:inline distT="0" distB="0" distL="0" distR="0" wp14:anchorId="772F16DA" wp14:editId="648C8FC5">
                  <wp:extent cx="501650" cy="501650"/>
                  <wp:effectExtent l="0" t="0" r="0" b="0"/>
                  <wp:docPr id="27" name="Bild 4"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Ätze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8978D3" w:rsidRPr="009C5E28" w:rsidRDefault="008978D3" w:rsidP="00527E73">
            <w:pPr>
              <w:spacing w:after="0"/>
              <w:jc w:val="center"/>
            </w:pPr>
            <w:r>
              <w:rPr>
                <w:noProof/>
                <w:lang w:eastAsia="de-DE"/>
              </w:rPr>
              <w:drawing>
                <wp:inline distT="0" distB="0" distL="0" distR="0" wp14:anchorId="7F746C07" wp14:editId="3061453A">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8978D3" w:rsidRPr="009C5E28" w:rsidRDefault="008978D3" w:rsidP="00527E73">
            <w:pPr>
              <w:spacing w:after="0"/>
              <w:jc w:val="center"/>
            </w:pPr>
            <w:r>
              <w:rPr>
                <w:noProof/>
                <w:lang w:eastAsia="de-DE"/>
              </w:rPr>
              <w:drawing>
                <wp:inline distT="0" distB="0" distL="0" distR="0" wp14:anchorId="1EA97F24" wp14:editId="677F3CFA">
                  <wp:extent cx="501650" cy="501650"/>
                  <wp:effectExtent l="0" t="0" r="0" b="0"/>
                  <wp:docPr id="26" name="Bild 5"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enn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009" w:type="dxa"/>
            <w:shd w:val="clear" w:color="auto" w:fill="auto"/>
            <w:vAlign w:val="center"/>
          </w:tcPr>
          <w:p w:rsidR="008978D3" w:rsidRPr="009C5E28" w:rsidRDefault="008978D3" w:rsidP="00527E73">
            <w:pPr>
              <w:spacing w:after="0"/>
              <w:jc w:val="center"/>
            </w:pPr>
            <w:r>
              <w:rPr>
                <w:noProof/>
                <w:lang w:eastAsia="de-DE"/>
              </w:rPr>
              <w:drawing>
                <wp:inline distT="0" distB="0" distL="0" distR="0" wp14:anchorId="175325CE" wp14:editId="6BDE0149">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shd w:val="clear" w:color="auto" w:fill="auto"/>
            <w:vAlign w:val="center"/>
          </w:tcPr>
          <w:p w:rsidR="008978D3" w:rsidRPr="009C5E28" w:rsidRDefault="008978D3" w:rsidP="00527E73">
            <w:pPr>
              <w:spacing w:after="0"/>
              <w:jc w:val="center"/>
            </w:pPr>
            <w:r>
              <w:rPr>
                <w:noProof/>
                <w:lang w:eastAsia="de-DE"/>
              </w:rPr>
              <w:drawing>
                <wp:inline distT="0" distB="0" distL="0" distR="0" wp14:anchorId="3EE4493A" wp14:editId="56DA0BB6">
                  <wp:extent cx="504190" cy="50419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shd w:val="clear" w:color="auto" w:fill="auto"/>
            <w:vAlign w:val="center"/>
          </w:tcPr>
          <w:p w:rsidR="008978D3" w:rsidRPr="009C5E28" w:rsidRDefault="008978D3" w:rsidP="00527E73">
            <w:pPr>
              <w:spacing w:after="0"/>
              <w:jc w:val="center"/>
            </w:pPr>
            <w:r>
              <w:rPr>
                <w:noProof/>
                <w:lang w:eastAsia="de-DE"/>
              </w:rPr>
              <w:drawing>
                <wp:inline distT="0" distB="0" distL="0" distR="0" wp14:anchorId="06003690" wp14:editId="5139E5F0">
                  <wp:extent cx="504190" cy="504190"/>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shd w:val="clear" w:color="auto" w:fill="auto"/>
            <w:vAlign w:val="center"/>
          </w:tcPr>
          <w:p w:rsidR="008978D3" w:rsidRPr="009C5E28" w:rsidRDefault="008978D3" w:rsidP="00527E73">
            <w:pPr>
              <w:spacing w:after="0"/>
              <w:jc w:val="center"/>
            </w:pPr>
            <w:r>
              <w:rPr>
                <w:noProof/>
                <w:lang w:eastAsia="de-DE"/>
              </w:rPr>
              <w:drawing>
                <wp:inline distT="0" distB="0" distL="0" distR="0" wp14:anchorId="353707CC" wp14:editId="1B32EE42">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shd w:val="clear" w:color="auto" w:fill="auto"/>
            <w:vAlign w:val="center"/>
          </w:tcPr>
          <w:p w:rsidR="008978D3" w:rsidRPr="009C5E28" w:rsidRDefault="008978D3" w:rsidP="00527E73">
            <w:pPr>
              <w:spacing w:after="0"/>
              <w:jc w:val="center"/>
            </w:pPr>
            <w:r>
              <w:rPr>
                <w:noProof/>
                <w:lang w:eastAsia="de-DE"/>
              </w:rPr>
              <w:drawing>
                <wp:inline distT="0" distB="0" distL="0" distR="0" wp14:anchorId="0BEB28F4" wp14:editId="578EDD59">
                  <wp:extent cx="501650" cy="501650"/>
                  <wp:effectExtent l="0" t="0" r="0" b="0"/>
                  <wp:docPr id="25" name="Bild 6"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ize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650" cy="501650"/>
                          </a:xfrm>
                          <a:prstGeom prst="rect">
                            <a:avLst/>
                          </a:prstGeom>
                          <a:noFill/>
                          <a:ln>
                            <a:noFill/>
                          </a:ln>
                        </pic:spPr>
                      </pic:pic>
                    </a:graphicData>
                  </a:graphic>
                </wp:inline>
              </w:drawing>
            </w:r>
          </w:p>
        </w:tc>
        <w:tc>
          <w:tcPr>
            <w:tcW w:w="1134" w:type="dxa"/>
            <w:shd w:val="clear" w:color="auto" w:fill="auto"/>
            <w:vAlign w:val="center"/>
          </w:tcPr>
          <w:p w:rsidR="008978D3" w:rsidRPr="009C5E28" w:rsidRDefault="008978D3" w:rsidP="00527E73">
            <w:pPr>
              <w:spacing w:after="0"/>
              <w:jc w:val="center"/>
            </w:pPr>
            <w:r>
              <w:rPr>
                <w:noProof/>
                <w:lang w:eastAsia="de-DE"/>
              </w:rPr>
              <w:drawing>
                <wp:inline distT="0" distB="0" distL="0" distR="0" wp14:anchorId="1ECE8ED4" wp14:editId="754A1947">
                  <wp:extent cx="584200" cy="584200"/>
                  <wp:effectExtent l="0" t="0" r="0" b="0"/>
                  <wp:docPr id="23" name="Bild 7"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mweltgefah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4200" cy="584200"/>
                          </a:xfrm>
                          <a:prstGeom prst="rect">
                            <a:avLst/>
                          </a:prstGeom>
                          <a:noFill/>
                          <a:ln>
                            <a:noFill/>
                          </a:ln>
                        </pic:spPr>
                      </pic:pic>
                    </a:graphicData>
                  </a:graphic>
                </wp:inline>
              </w:drawing>
            </w:r>
          </w:p>
        </w:tc>
      </w:tr>
    </w:tbl>
    <w:p w:rsidR="008978D3" w:rsidRDefault="008978D3" w:rsidP="008978D3">
      <w:pPr>
        <w:tabs>
          <w:tab w:val="left" w:pos="1701"/>
          <w:tab w:val="left" w:pos="1985"/>
        </w:tabs>
        <w:ind w:left="1980" w:hanging="1980"/>
      </w:pPr>
    </w:p>
    <w:p w:rsidR="008978D3" w:rsidRDefault="008978D3" w:rsidP="008978D3">
      <w:pPr>
        <w:tabs>
          <w:tab w:val="left" w:pos="1701"/>
          <w:tab w:val="left" w:pos="1985"/>
        </w:tabs>
        <w:ind w:left="1980" w:hanging="1980"/>
      </w:pPr>
      <w:r>
        <w:t>Materialien:</w:t>
      </w:r>
      <w:r>
        <w:tab/>
      </w:r>
      <w:r>
        <w:tab/>
        <w:t>9 Reagenzgläser, 9 Gärröhrchen, Reagenzglasständer, Wasserbad (35 °C), Eisbad, Thermometer</w:t>
      </w:r>
    </w:p>
    <w:p w:rsidR="008978D3" w:rsidRDefault="008978D3" w:rsidP="008978D3">
      <w:pPr>
        <w:tabs>
          <w:tab w:val="left" w:pos="1701"/>
          <w:tab w:val="left" w:pos="1985"/>
        </w:tabs>
        <w:ind w:left="1980" w:hanging="1980"/>
      </w:pPr>
      <w:r>
        <w:t>Chemikalien:</w:t>
      </w:r>
      <w:r>
        <w:tab/>
      </w:r>
      <w:r>
        <w:tab/>
        <w:t>Glucose, Fructose, Saccharose, Wasser</w:t>
      </w:r>
    </w:p>
    <w:p w:rsidR="008978D3" w:rsidRDefault="008978D3" w:rsidP="008978D3">
      <w:pPr>
        <w:tabs>
          <w:tab w:val="left" w:pos="1701"/>
          <w:tab w:val="left" w:pos="1985"/>
        </w:tabs>
        <w:ind w:left="1980" w:hanging="1980"/>
      </w:pPr>
      <w:r>
        <w:t>Durchführung:</w:t>
      </w:r>
      <w:r>
        <w:tab/>
      </w:r>
      <w:r>
        <w:tab/>
        <w:t>Es werden 10 g der verschiedenen Zucker in je 100 mL Wasser gelöst. Mit 20 g der Bäckerhefe wird in 100 mL Wasser eine Suspension hergestellt. Jeweils drei der Reagenzgläser werden mit Zahlen beschriftet: 1 = Eisbad, 2 = Reagenzglasständer, 3 = Wasserbad. Jede Nummer bekommt jeweils alle drei Zucker zugewiesen, sodass neun Vergleichswerte entstehen. In jedes Reagenzglas wird ein fingerbreit der Hefesuspension gefüllt und 5 mL der zugeordneten Zuckerlösung hinzugegeben. Anschließend wird auf jedes Reagenzglas ein mit Wasser gefülltes Gärröhrchen aufgesetzt. Danach werden die Reagenzgläser auf Wasserbad, Ständer und Eisbad aufgeteilt und eine halbe Stunde lang beobachtet.</w:t>
      </w:r>
    </w:p>
    <w:p w:rsidR="008978D3" w:rsidRDefault="008978D3" w:rsidP="008978D3">
      <w:pPr>
        <w:tabs>
          <w:tab w:val="left" w:pos="1701"/>
          <w:tab w:val="left" w:pos="1985"/>
        </w:tabs>
        <w:ind w:left="1980" w:hanging="1980"/>
      </w:pPr>
      <w:r>
        <w:t>Beobachtung:</w:t>
      </w:r>
      <w:r>
        <w:tab/>
      </w:r>
      <w:r>
        <w:tab/>
        <w:t xml:space="preserve">Nach einiger Zeit steigen Gasbläschen durch die Gärröhrchen, deren Reagenzgläser im Wasserbad erwärmt werden. Ein paar Minuten später ist das gleiche bei den Reagenzgläsern auf Raumtemperatur zu beobachten. Die gemessene Raumtemperatur liegt dabei bei 23 °C. In den Reagenzgläsern, </w:t>
      </w:r>
      <w:r>
        <w:lastRenderedPageBreak/>
        <w:t>die Hefe und Saccharose enthalten ist die Gasentwicklung etwas schwächer. Auch nach 30 Minuten ist bei den Reagenzgläsern im Eisbad keine Gasentwicklung zu beobachten.</w:t>
      </w:r>
    </w:p>
    <w:p w:rsidR="008978D3" w:rsidRDefault="008978D3" w:rsidP="008978D3">
      <w:pPr>
        <w:tabs>
          <w:tab w:val="left" w:pos="1701"/>
          <w:tab w:val="left" w:pos="1985"/>
        </w:tabs>
        <w:ind w:left="1980" w:hanging="1980"/>
      </w:pPr>
      <w:r>
        <w:rPr>
          <w:noProof/>
          <w:lang w:eastAsia="de-DE"/>
        </w:rPr>
        <w:drawing>
          <wp:anchor distT="0" distB="0" distL="114300" distR="114300" simplePos="0" relativeHeight="251660288" behindDoc="0" locked="0" layoutInCell="1" allowOverlap="1" wp14:anchorId="36B8B6D3" wp14:editId="674A8435">
            <wp:simplePos x="0" y="0"/>
            <wp:positionH relativeFrom="column">
              <wp:posOffset>1263650</wp:posOffset>
            </wp:positionH>
            <wp:positionV relativeFrom="paragraph">
              <wp:posOffset>33020</wp:posOffset>
            </wp:positionV>
            <wp:extent cx="4500245" cy="3221990"/>
            <wp:effectExtent l="0" t="0" r="0" b="0"/>
            <wp:wrapNone/>
            <wp:docPr id="59" name="Bild 7" descr="IMG_2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G_26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245" cy="3221990"/>
                    </a:xfrm>
                    <a:prstGeom prst="rect">
                      <a:avLst/>
                    </a:prstGeom>
                    <a:noFill/>
                  </pic:spPr>
                </pic:pic>
              </a:graphicData>
            </a:graphic>
            <wp14:sizeRelH relativeFrom="page">
              <wp14:pctWidth>0</wp14:pctWidth>
            </wp14:sizeRelH>
            <wp14:sizeRelV relativeFrom="page">
              <wp14:pctHeight>0</wp14:pctHeight>
            </wp14:sizeRelV>
          </wp:anchor>
        </w:drawing>
      </w:r>
    </w:p>
    <w:p w:rsidR="008978D3" w:rsidRDefault="008978D3" w:rsidP="008978D3">
      <w:pPr>
        <w:tabs>
          <w:tab w:val="left" w:pos="1701"/>
          <w:tab w:val="left" w:pos="1985"/>
        </w:tabs>
        <w:ind w:left="1980" w:hanging="1980"/>
      </w:pPr>
    </w:p>
    <w:p w:rsidR="008978D3" w:rsidRDefault="008978D3" w:rsidP="008978D3">
      <w:pPr>
        <w:tabs>
          <w:tab w:val="left" w:pos="1701"/>
          <w:tab w:val="left" w:pos="1985"/>
        </w:tabs>
        <w:ind w:left="1980" w:hanging="1980"/>
      </w:pPr>
    </w:p>
    <w:p w:rsidR="008978D3" w:rsidRDefault="008978D3" w:rsidP="008978D3">
      <w:pPr>
        <w:tabs>
          <w:tab w:val="left" w:pos="1701"/>
          <w:tab w:val="left" w:pos="1985"/>
        </w:tabs>
        <w:ind w:left="1980" w:hanging="1980"/>
      </w:pPr>
    </w:p>
    <w:p w:rsidR="008978D3" w:rsidRDefault="008978D3" w:rsidP="008978D3">
      <w:pPr>
        <w:tabs>
          <w:tab w:val="left" w:pos="1701"/>
          <w:tab w:val="left" w:pos="1985"/>
        </w:tabs>
        <w:ind w:left="1980" w:hanging="1980"/>
      </w:pPr>
    </w:p>
    <w:p w:rsidR="008978D3" w:rsidRDefault="008978D3" w:rsidP="008978D3">
      <w:pPr>
        <w:tabs>
          <w:tab w:val="left" w:pos="1701"/>
          <w:tab w:val="left" w:pos="1985"/>
        </w:tabs>
        <w:ind w:left="1980" w:hanging="1980"/>
      </w:pPr>
    </w:p>
    <w:p w:rsidR="008978D3" w:rsidRDefault="008978D3" w:rsidP="008978D3">
      <w:pPr>
        <w:tabs>
          <w:tab w:val="left" w:pos="1701"/>
          <w:tab w:val="left" w:pos="1985"/>
        </w:tabs>
        <w:ind w:left="1980" w:hanging="1980"/>
      </w:pPr>
    </w:p>
    <w:p w:rsidR="008978D3" w:rsidRDefault="008978D3" w:rsidP="008978D3">
      <w:pPr>
        <w:tabs>
          <w:tab w:val="left" w:pos="1701"/>
          <w:tab w:val="left" w:pos="1985"/>
        </w:tabs>
        <w:ind w:left="1980" w:hanging="1980"/>
      </w:pPr>
    </w:p>
    <w:p w:rsidR="008978D3" w:rsidRDefault="008978D3" w:rsidP="008978D3">
      <w:pPr>
        <w:tabs>
          <w:tab w:val="left" w:pos="1701"/>
          <w:tab w:val="left" w:pos="1985"/>
        </w:tabs>
        <w:ind w:left="1980" w:hanging="1980"/>
      </w:pPr>
    </w:p>
    <w:p w:rsidR="008978D3" w:rsidRDefault="008978D3" w:rsidP="008978D3">
      <w:pPr>
        <w:tabs>
          <w:tab w:val="left" w:pos="1701"/>
          <w:tab w:val="left" w:pos="1985"/>
        </w:tabs>
        <w:ind w:left="1980" w:hanging="1980"/>
      </w:pPr>
      <w:r>
        <w:rPr>
          <w:noProof/>
          <w:lang w:eastAsia="de-DE"/>
        </w:rPr>
        <mc:AlternateContent>
          <mc:Choice Requires="wps">
            <w:drawing>
              <wp:anchor distT="0" distB="0" distL="114300" distR="114300" simplePos="0" relativeHeight="251661312" behindDoc="0" locked="0" layoutInCell="1" allowOverlap="1" wp14:anchorId="30BED101" wp14:editId="2364CE7C">
                <wp:simplePos x="0" y="0"/>
                <wp:positionH relativeFrom="margin">
                  <wp:align>right</wp:align>
                </wp:positionH>
                <wp:positionV relativeFrom="paragraph">
                  <wp:posOffset>12411</wp:posOffset>
                </wp:positionV>
                <wp:extent cx="4500245" cy="635"/>
                <wp:effectExtent l="0" t="0" r="0" b="5715"/>
                <wp:wrapNone/>
                <wp:docPr id="19" name="Textfeld 19"/>
                <wp:cNvGraphicFramePr/>
                <a:graphic xmlns:a="http://schemas.openxmlformats.org/drawingml/2006/main">
                  <a:graphicData uri="http://schemas.microsoft.com/office/word/2010/wordprocessingShape">
                    <wps:wsp>
                      <wps:cNvSpPr txBox="1"/>
                      <wps:spPr>
                        <a:xfrm>
                          <a:off x="0" y="0"/>
                          <a:ext cx="4500245" cy="635"/>
                        </a:xfrm>
                        <a:prstGeom prst="rect">
                          <a:avLst/>
                        </a:prstGeom>
                        <a:solidFill>
                          <a:prstClr val="white"/>
                        </a:solidFill>
                        <a:ln>
                          <a:noFill/>
                        </a:ln>
                      </wps:spPr>
                      <wps:txbx>
                        <w:txbxContent>
                          <w:p w:rsidR="008978D3" w:rsidRPr="007A43F6" w:rsidRDefault="008978D3" w:rsidP="008978D3">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Aufbau zum Versuch V2 – Einfluss auf die Enzymaktivität.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0BED101" id="Textfeld 19" o:spid="_x0000_s1027" type="#_x0000_t202" style="position:absolute;left:0;text-align:left;margin-left:303.15pt;margin-top:1pt;width:354.35pt;height:.0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" stroked="f">
                <v:textbox style="mso-fit-shape-to-text:t" inset="0,0,0,0">
                  <w:txbxContent>
                    <w:p w:rsidR="008978D3" w:rsidRPr="007A43F6" w:rsidRDefault="008978D3" w:rsidP="008978D3">
                      <w:pPr>
                        <w:pStyle w:val="Beschriftung"/>
                        <w:rPr>
                          <w:noProof/>
                          <w:color w:val="171717" w:themeColor="background2" w:themeShade="1A"/>
                        </w:rPr>
                      </w:pPr>
                      <w:r>
                        <w:t xml:space="preserve">Abbildung </w:t>
                      </w:r>
                      <w:r>
                        <w:fldChar w:fldCharType="begin"/>
                      </w:r>
                      <w:r>
                        <w:instrText xml:space="preserve"> SEQ Abbildung \* ARABIC </w:instrText>
                      </w:r>
                      <w:r>
                        <w:fldChar w:fldCharType="separate"/>
                      </w:r>
                      <w:r>
                        <w:rPr>
                          <w:noProof/>
                        </w:rPr>
                        <w:t>3</w:t>
                      </w:r>
                      <w:r>
                        <w:rPr>
                          <w:noProof/>
                        </w:rPr>
                        <w:fldChar w:fldCharType="end"/>
                      </w:r>
                      <w:r>
                        <w:t>: Aufbau zum Versuch V2 – Einfluss auf die Enzymaktivität.</w:t>
                      </w:r>
                    </w:p>
                  </w:txbxContent>
                </v:textbox>
                <w10:wrap anchorx="margin"/>
              </v:shape>
            </w:pict>
          </mc:Fallback>
        </mc:AlternateContent>
      </w:r>
    </w:p>
    <w:p w:rsidR="008978D3" w:rsidRDefault="008978D3" w:rsidP="008978D3">
      <w:pPr>
        <w:tabs>
          <w:tab w:val="left" w:pos="1276"/>
          <w:tab w:val="left" w:pos="1985"/>
        </w:tabs>
        <w:ind w:left="1985" w:hanging="1985"/>
      </w:pPr>
      <w:r>
        <w:t>Deutung:</w:t>
      </w:r>
      <w:r>
        <w:tab/>
      </w:r>
      <w:r>
        <w:tab/>
        <w:t>Die Hefe vergärt die Zucker unter aeroben Bedingungen zu Kohlenstoffdioxid und Wasser.</w:t>
      </w:r>
    </w:p>
    <w:p w:rsidR="008978D3" w:rsidRDefault="008978D3" w:rsidP="008978D3">
      <w:pPr>
        <w:ind w:left="1985"/>
      </w:pPr>
      <w:r>
        <w:t>Reaktionsgleichung Glucose und Fructose:</w:t>
      </w:r>
    </w:p>
    <w:p w:rsidR="008978D3" w:rsidRPr="0059392A" w:rsidRDefault="008978D3" w:rsidP="008978D3">
      <w:pPr>
        <w:rPr>
          <w:rFonts w:eastAsiaTheme="minorEastAsia"/>
        </w:rPr>
      </w:pPr>
      <m:oMathPara>
        <m:oMath>
          <m: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w:rPr>
                  <w:rFonts w:ascii="Cambria Math" w:hAnsi="Cambria Math"/>
                </w:rPr>
                <m:t>6</m:t>
              </m:r>
            </m:sub>
          </m:sSub>
          <m:sSub>
            <m:sSubPr>
              <m:ctrlPr>
                <w:rPr>
                  <w:rFonts w:ascii="Cambria Math" w:hAnsi="Cambria Math"/>
                </w:rPr>
              </m:ctrlPr>
            </m:sSubPr>
            <m:e>
              <m:r>
                <m:rPr>
                  <m:sty m:val="p"/>
                </m:rPr>
                <w:rPr>
                  <w:rFonts w:ascii="Cambria Math" w:hAnsi="Cambria Math"/>
                </w:rPr>
                <m:t>H</m:t>
              </m:r>
            </m:e>
            <m:sub>
              <m:r>
                <w:rPr>
                  <w:rFonts w:ascii="Cambria Math" w:hAnsi="Cambria Math"/>
                </w:rPr>
                <m:t>12</m:t>
              </m:r>
            </m:sub>
          </m:sSub>
          <m:sSub>
            <m:sSubPr>
              <m:ctrlPr>
                <w:rPr>
                  <w:rFonts w:ascii="Cambria Math" w:hAnsi="Cambria Math"/>
                </w:rPr>
              </m:ctrlPr>
            </m:sSubPr>
            <m:e>
              <m:r>
                <m:rPr>
                  <m:sty m:val="p"/>
                </m:rPr>
                <w:rPr>
                  <w:rFonts w:ascii="Cambria Math" w:hAnsi="Cambria Math"/>
                </w:rPr>
                <m:t>O</m:t>
              </m:r>
            </m:e>
            <m:sub>
              <m:r>
                <w:rPr>
                  <w:rFonts w:ascii="Cambria Math" w:hAnsi="Cambria Math"/>
                </w:rPr>
                <m:t>6</m:t>
              </m:r>
            </m:sub>
          </m:sSub>
          <m:r>
            <m:rPr>
              <m:sty m:val="p"/>
            </m:rPr>
            <w:rPr>
              <w:rFonts w:ascii="Cambria Math" w:hAnsi="Cambria Math"/>
            </w:rPr>
            <m:t xml:space="preserve"> + 6 </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m:rPr>
              <m:sty m:val="p"/>
            </m:rPr>
            <w:rPr>
              <w:rFonts w:ascii="Cambria Math" w:hAnsi="Cambria Math"/>
            </w:rPr>
            <m:t xml:space="preserve">→6 </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 xml:space="preserve">O  + 6 </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oMath>
      </m:oMathPara>
    </w:p>
    <w:p w:rsidR="008978D3" w:rsidRDefault="008978D3" w:rsidP="008978D3">
      <w:pPr>
        <w:ind w:left="1985"/>
        <w:rPr>
          <w:rFonts w:eastAsiaTheme="minorEastAsia"/>
        </w:rPr>
      </w:pPr>
      <w:r>
        <w:rPr>
          <w:rFonts w:eastAsiaTheme="minorEastAsia"/>
        </w:rPr>
        <w:t>Reaktionsgleichung Saccharose:</w:t>
      </w:r>
    </w:p>
    <w:p w:rsidR="008978D3" w:rsidRPr="005601D3" w:rsidRDefault="008978D3" w:rsidP="008978D3">
      <w:pPr>
        <w:rPr>
          <w:rFonts w:eastAsiaTheme="minorEastAsia"/>
        </w:rPr>
      </w:pPr>
      <m:oMathPara>
        <m:oMath>
          <m:sSub>
            <m:sSubPr>
              <m:ctrlPr>
                <w:rPr>
                  <w:rFonts w:ascii="Cambria Math" w:hAnsi="Cambria Math"/>
                </w:rPr>
              </m:ctrlPr>
            </m:sSubPr>
            <m:e>
              <m:r>
                <m:rPr>
                  <m:sty m:val="p"/>
                </m:rPr>
                <w:rPr>
                  <w:rFonts w:ascii="Cambria Math" w:hAnsi="Cambria Math"/>
                </w:rPr>
                <m:t>C</m:t>
              </m:r>
            </m:e>
            <m:sub>
              <m:r>
                <w:rPr>
                  <w:rFonts w:ascii="Cambria Math" w:hAnsi="Cambria Math"/>
                </w:rPr>
                <m:t>12</m:t>
              </m:r>
            </m:sub>
          </m:sSub>
          <m:sSub>
            <m:sSubPr>
              <m:ctrlPr>
                <w:rPr>
                  <w:rFonts w:ascii="Cambria Math" w:hAnsi="Cambria Math"/>
                </w:rPr>
              </m:ctrlPr>
            </m:sSubPr>
            <m:e>
              <m:r>
                <m:rPr>
                  <m:sty m:val="p"/>
                </m:rPr>
                <w:rPr>
                  <w:rFonts w:ascii="Cambria Math" w:hAnsi="Cambria Math"/>
                </w:rPr>
                <m:t>H</m:t>
              </m:r>
            </m:e>
            <m:sub>
              <m:r>
                <w:rPr>
                  <w:rFonts w:ascii="Cambria Math" w:hAnsi="Cambria Math"/>
                </w:rPr>
                <m:t>22</m:t>
              </m:r>
            </m:sub>
          </m:sSub>
          <m:sSub>
            <m:sSubPr>
              <m:ctrlPr>
                <w:rPr>
                  <w:rFonts w:ascii="Cambria Math" w:hAnsi="Cambria Math"/>
                </w:rPr>
              </m:ctrlPr>
            </m:sSubPr>
            <m:e>
              <m:r>
                <m:rPr>
                  <m:sty m:val="p"/>
                </m:rPr>
                <w:rPr>
                  <w:rFonts w:ascii="Cambria Math" w:hAnsi="Cambria Math"/>
                </w:rPr>
                <m:t>O</m:t>
              </m:r>
            </m:e>
            <m:sub>
              <m:r>
                <w:rPr>
                  <w:rFonts w:ascii="Cambria Math" w:hAnsi="Cambria Math"/>
                </w:rPr>
                <m:t>11</m:t>
              </m:r>
            </m:sub>
          </m:sSub>
          <m:r>
            <m:rPr>
              <m:sty m:val="p"/>
            </m:rPr>
            <w:rPr>
              <w:rFonts w:ascii="Cambria Math" w:hAnsi="Cambria Math"/>
            </w:rPr>
            <m:t xml:space="preserve"> + 12 </m:t>
          </m:r>
          <m:sSub>
            <m:sSubPr>
              <m:ctrlPr>
                <w:rPr>
                  <w:rFonts w:ascii="Cambria Math" w:hAnsi="Cambria Math"/>
                </w:rPr>
              </m:ctrlPr>
            </m:sSubPr>
            <m:e>
              <m:r>
                <m:rPr>
                  <m:sty m:val="p"/>
                </m:rPr>
                <w:rPr>
                  <w:rFonts w:ascii="Cambria Math" w:hAnsi="Cambria Math"/>
                </w:rPr>
                <m:t>O</m:t>
              </m:r>
            </m:e>
            <m:sub>
              <m:r>
                <w:rPr>
                  <w:rFonts w:ascii="Cambria Math" w:hAnsi="Cambria Math"/>
                </w:rPr>
                <m:t>2</m:t>
              </m:r>
            </m:sub>
          </m:sSub>
          <m:r>
            <m:rPr>
              <m:sty m:val="p"/>
            </m:rPr>
            <w:rPr>
              <w:rFonts w:ascii="Cambria Math" w:hAnsi="Cambria Math"/>
            </w:rPr>
            <m:t xml:space="preserve">→11 </m:t>
          </m:r>
          <m:sSub>
            <m:sSubPr>
              <m:ctrlPr>
                <w:rPr>
                  <w:rFonts w:ascii="Cambria Math" w:hAnsi="Cambria Math"/>
                </w:rPr>
              </m:ctrlPr>
            </m:sSubPr>
            <m:e>
              <m:r>
                <m:rPr>
                  <m:sty m:val="p"/>
                </m:rPr>
                <w:rPr>
                  <w:rFonts w:ascii="Cambria Math" w:hAnsi="Cambria Math"/>
                </w:rPr>
                <m:t>H</m:t>
              </m:r>
            </m:e>
            <m:sub>
              <m:r>
                <w:rPr>
                  <w:rFonts w:ascii="Cambria Math" w:hAnsi="Cambria Math"/>
                </w:rPr>
                <m:t>2</m:t>
              </m:r>
            </m:sub>
          </m:sSub>
          <m:r>
            <m:rPr>
              <m:sty m:val="p"/>
            </m:rPr>
            <w:rPr>
              <w:rFonts w:ascii="Cambria Math" w:hAnsi="Cambria Math"/>
            </w:rPr>
            <m:t xml:space="preserve">O  + 12 </m:t>
          </m:r>
          <m:sSub>
            <m:sSubPr>
              <m:ctrlPr>
                <w:rPr>
                  <w:rFonts w:ascii="Cambria Math" w:hAnsi="Cambria Math"/>
                </w:rPr>
              </m:ctrlPr>
            </m:sSubPr>
            <m:e>
              <m:r>
                <m:rPr>
                  <m:sty m:val="p"/>
                </m:rPr>
                <w:rPr>
                  <w:rFonts w:ascii="Cambria Math" w:hAnsi="Cambria Math"/>
                </w:rPr>
                <m:t>CO</m:t>
              </m:r>
            </m:e>
            <m:sub>
              <m:r>
                <w:rPr>
                  <w:rFonts w:ascii="Cambria Math" w:hAnsi="Cambria Math"/>
                </w:rPr>
                <m:t>2</m:t>
              </m:r>
            </m:sub>
          </m:sSub>
        </m:oMath>
      </m:oMathPara>
    </w:p>
    <w:p w:rsidR="008978D3" w:rsidRDefault="008978D3" w:rsidP="008978D3">
      <w:pPr>
        <w:ind w:left="1985" w:hanging="1985"/>
        <w:rPr>
          <w:rFonts w:eastAsiaTheme="minorEastAsia"/>
        </w:rPr>
      </w:pPr>
      <w:r>
        <w:rPr>
          <w:rFonts w:eastAsiaTheme="minorEastAsia"/>
        </w:rPr>
        <w:tab/>
        <w:t xml:space="preserve">Saccharose ist ein Disaccharid aus </w:t>
      </w:r>
      <w:proofErr w:type="spellStart"/>
      <w:r>
        <w:rPr>
          <w:rFonts w:eastAsiaTheme="minorEastAsia"/>
        </w:rPr>
        <w:t>glycosidisch</w:t>
      </w:r>
      <w:proofErr w:type="spellEnd"/>
      <w:r>
        <w:rPr>
          <w:rFonts w:eastAsiaTheme="minorEastAsia"/>
        </w:rPr>
        <w:t xml:space="preserve"> verknüpften Glucose- und Fructose-Monomeren. Es sind somit mehr Schritte zum Abbau nötig, die von verschiedenen Enzymen katalysiert werden. Die Reaktion dauert insgesamt länger. Glucose und Fructose sind den Enzymen direkt zugänglich und werden daher schneller abgebaut.</w:t>
      </w:r>
    </w:p>
    <w:p w:rsidR="008978D3" w:rsidRPr="0059392A" w:rsidRDefault="008978D3" w:rsidP="008978D3">
      <w:pPr>
        <w:ind w:left="1985" w:hanging="1985"/>
        <w:rPr>
          <w:rFonts w:eastAsiaTheme="minorEastAsia"/>
        </w:rPr>
      </w:pPr>
      <w:r>
        <w:rPr>
          <w:rFonts w:eastAsiaTheme="minorEastAsia"/>
        </w:rPr>
        <w:tab/>
        <w:t>Die enzymatische Zersetzung von Zucker ist temperaturabhängig. Bei höherer Temperatur läuft die Reaktion schneller ab, was die Beobachtungen auch so zeigen. Die Reaktion im Eisbad ist sogar so langsam, dass keine Gasentwicklung während der Versuchszeit zu erkennen war.</w:t>
      </w:r>
    </w:p>
    <w:p w:rsidR="008978D3" w:rsidRDefault="008978D3" w:rsidP="008978D3">
      <w:pPr>
        <w:tabs>
          <w:tab w:val="left" w:pos="1985"/>
        </w:tabs>
        <w:ind w:left="1985" w:hanging="1985"/>
        <w:jc w:val="left"/>
      </w:pPr>
      <w:r>
        <w:lastRenderedPageBreak/>
        <w:t>Entsorgung:</w:t>
      </w:r>
      <w:r>
        <w:tab/>
        <w:t>Die Lösungen und Suspensionen können über den Ausguss entsorgt werden.</w:t>
      </w:r>
    </w:p>
    <w:p w:rsidR="008978D3" w:rsidRDefault="008978D3" w:rsidP="008978D3">
      <w:pPr>
        <w:ind w:left="1985" w:hanging="1985"/>
        <w:jc w:val="left"/>
      </w:pPr>
      <w:r>
        <w:t>Literatur:</w:t>
      </w:r>
      <w:r>
        <w:tab/>
      </w:r>
      <w:proofErr w:type="spellStart"/>
      <w:r>
        <w:t>Schwamborn</w:t>
      </w:r>
      <w:proofErr w:type="spellEnd"/>
      <w:r>
        <w:t>, M.; Schütte, O. (2014): Praktikumsskript spezielle organische Chemie für Lehramtskandidaten. Georg-August-Universität Göttingen.</w:t>
      </w:r>
    </w:p>
    <w:p w:rsidR="008978D3" w:rsidRDefault="008978D3" w:rsidP="008978D3">
      <w:pPr>
        <w:ind w:left="1985" w:hanging="1985"/>
        <w:jc w:val="left"/>
      </w:pPr>
      <w:r>
        <w:tab/>
        <w:t xml:space="preserve">Brown, Theodore L.; </w:t>
      </w:r>
      <w:proofErr w:type="spellStart"/>
      <w:r>
        <w:t>LeMay</w:t>
      </w:r>
      <w:proofErr w:type="spellEnd"/>
      <w:r>
        <w:t xml:space="preserve">, Harold Eugene; </w:t>
      </w:r>
      <w:proofErr w:type="spellStart"/>
      <w:r>
        <w:t>Bursten</w:t>
      </w:r>
      <w:proofErr w:type="spellEnd"/>
      <w:r>
        <w:t xml:space="preserve">, Bruce Edward; </w:t>
      </w:r>
      <w:proofErr w:type="spellStart"/>
      <w:r>
        <w:t>Robl</w:t>
      </w:r>
      <w:proofErr w:type="spellEnd"/>
      <w:r>
        <w:t>, Christian (2011): Chemie. Studieren kompakt. 10., aktualisierte Aufl. München: Pearson</w:t>
      </w:r>
    </w:p>
    <w:p w:rsidR="008978D3" w:rsidRDefault="008978D3" w:rsidP="008978D3">
      <w:pPr>
        <w:ind w:left="1985" w:hanging="1985"/>
        <w:jc w:val="left"/>
        <w:rPr>
          <w:rFonts w:asciiTheme="majorHAnsi" w:hAnsiTheme="majorHAnsi"/>
        </w:rPr>
      </w:pPr>
    </w:p>
    <w:p w:rsidR="008978D3" w:rsidRDefault="008978D3" w:rsidP="008978D3">
      <w:pPr>
        <w:tabs>
          <w:tab w:val="left" w:pos="1701"/>
          <w:tab w:val="left" w:pos="1985"/>
        </w:tabs>
        <w:ind w:left="1980" w:hanging="1980"/>
      </w:pPr>
      <w:r>
        <w:rPr>
          <w:noProof/>
          <w:lang w:eastAsia="de-DE"/>
        </w:rPr>
        <mc:AlternateContent>
          <mc:Choice Requires="wps">
            <w:drawing>
              <wp:inline distT="0" distB="0" distL="0" distR="0" wp14:anchorId="6D522A95" wp14:editId="04389789">
                <wp:extent cx="5873115" cy="1771650"/>
                <wp:effectExtent l="0" t="0" r="13335" b="19050"/>
                <wp:docPr id="41"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771650"/>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8978D3" w:rsidRDefault="008978D3" w:rsidP="008978D3">
                            <w:pPr>
                              <w:spacing w:after="0"/>
                              <w:rPr>
                                <w:color w:val="auto"/>
                              </w:rPr>
                            </w:pPr>
                            <w:r w:rsidRPr="00F31EBF">
                              <w:rPr>
                                <w:b/>
                                <w:color w:val="auto"/>
                              </w:rPr>
                              <w:t>Unterrichtsanschlüsse</w:t>
                            </w:r>
                            <w:r>
                              <w:rPr>
                                <w:b/>
                                <w:color w:val="auto"/>
                              </w:rPr>
                              <w:t>:</w:t>
                            </w:r>
                            <w:r w:rsidRPr="009350EE">
                              <w:rPr>
                                <w:color w:val="auto"/>
                              </w:rPr>
                              <w:t xml:space="preserve"> </w:t>
                            </w:r>
                            <w:r>
                              <w:rPr>
                                <w:color w:val="auto"/>
                              </w:rPr>
                              <w:t>Der Versuch kann im fächerübergreifenden Unterricht thematisiert werden, um Reaktionsgeschwindigkeit und enzymatisch katalysierte Vorgänge in der Biologie zu untersuchen.</w:t>
                            </w:r>
                          </w:p>
                          <w:p w:rsidR="008978D3" w:rsidRDefault="008978D3" w:rsidP="008978D3">
                            <w:pPr>
                              <w:rPr>
                                <w:color w:val="auto"/>
                              </w:rPr>
                            </w:pPr>
                            <w:r>
                              <w:rPr>
                                <w:color w:val="auto"/>
                              </w:rPr>
                              <w:t>Als Erweiterung könnten auch noch die Gasblasen gezählt werden, um die Reaktionsgeschwindigkeit direkt zu vergleichen, als Blasenzahl pro Zeit und in Abhängigkeit der Temperatur. Diese Alternative wird im Schülerarbeitsblatt vorgestellt. Ergänzend könnte auch über Kalkwasser im Gärröhrchen das entstehende Kohlenstoffdioxid qualitativ nachgewiesen werden.</w:t>
                            </w:r>
                          </w:p>
                        </w:txbxContent>
                      </wps:txbx>
                      <wps:bodyPr rot="0" vert="horz" wrap="square" lIns="91440" tIns="45720" rIns="91440" bIns="45720" anchor="t" anchorCtr="0" upright="1">
                        <a:noAutofit/>
                      </wps:bodyPr>
                    </wps:wsp>
                  </a:graphicData>
                </a:graphic>
              </wp:inline>
            </w:drawing>
          </mc:Choice>
          <mc:Fallback>
            <w:pict>
              <v:shape w14:anchorId="6D522A95" id="Text Box 227" o:spid="_x0000_s1028" type="#_x0000_t202" style="width:462.45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" fillcolor="white [3201]" strokecolor="#ed7d31 [3205]" strokeweight="1pt">
                <v:stroke dashstyle="dash"/>
                <v:shadow color="#868686"/>
                <v:textbox>
                  <w:txbxContent>
                    <w:p w:rsidR="008978D3" w:rsidRDefault="008978D3" w:rsidP="008978D3">
                      <w:pPr>
                        <w:spacing w:after="0"/>
                        <w:rPr>
                          <w:color w:val="auto"/>
                        </w:rPr>
                      </w:pPr>
                      <w:r w:rsidRPr="00F31EBF">
                        <w:rPr>
                          <w:b/>
                          <w:color w:val="auto"/>
                        </w:rPr>
                        <w:t>Unterrichtsanschlüsse</w:t>
                      </w:r>
                      <w:r>
                        <w:rPr>
                          <w:b/>
                          <w:color w:val="auto"/>
                        </w:rPr>
                        <w:t>:</w:t>
                      </w:r>
                      <w:r w:rsidRPr="009350EE">
                        <w:rPr>
                          <w:color w:val="auto"/>
                        </w:rPr>
                        <w:t xml:space="preserve"> </w:t>
                      </w:r>
                      <w:r>
                        <w:rPr>
                          <w:color w:val="auto"/>
                        </w:rPr>
                        <w:t>Der Versuch kann im fächerübergreifenden Unterricht thematisiert werden, um Reaktionsgeschwindigkeit und enzymatisch katalysierte Vorgänge in der Biologie zu untersuchen.</w:t>
                      </w:r>
                    </w:p>
                    <w:p w:rsidR="008978D3" w:rsidRDefault="008978D3" w:rsidP="008978D3">
                      <w:pPr>
                        <w:rPr>
                          <w:color w:val="auto"/>
                        </w:rPr>
                      </w:pPr>
                      <w:r>
                        <w:rPr>
                          <w:color w:val="auto"/>
                        </w:rPr>
                        <w:t>Als Erweiterung könnten auch noch die Gasblasen gezählt werden, um die Reaktionsgeschwindigkeit direkt zu vergleichen, als Blasenzahl pro Zeit und in Abhängigkeit der Temperatur. Diese Alternative wird im Schülerarbeitsblatt vorgestellt. Ergänzend könnte auch über Kalkwasser im Gärröhrchen das entstehende Kohlenstoffdioxid qualitativ nachgewiesen werden.</w:t>
                      </w:r>
                    </w:p>
                  </w:txbxContent>
                </v:textbox>
                <w10:anchorlock/>
              </v:shape>
            </w:pict>
          </mc:Fallback>
        </mc:AlternateContent>
      </w:r>
    </w:p>
    <w:p w:rsidR="00ED41A2" w:rsidRPr="008978D3" w:rsidRDefault="00ED41A2" w:rsidP="008978D3">
      <w:pPr>
        <w:spacing w:line="276" w:lineRule="auto"/>
        <w:jc w:val="left"/>
      </w:pPr>
    </w:p>
    <w:sectPr w:rsidR="00ED41A2" w:rsidRPr="008978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2A"/>
    <w:rsid w:val="00074926"/>
    <w:rsid w:val="000D1C49"/>
    <w:rsid w:val="00192413"/>
    <w:rsid w:val="00656137"/>
    <w:rsid w:val="008978D3"/>
    <w:rsid w:val="00CE600D"/>
    <w:rsid w:val="00DE532A"/>
    <w:rsid w:val="00E27B78"/>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6BE5"/>
  <w15:chartTrackingRefBased/>
  <w15:docId w15:val="{1B8B4D82-E3BB-43E4-A416-EF5224F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E532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E532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E532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DE532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E532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E532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E532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E53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53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53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532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E532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E532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E532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E532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E532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E53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E53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532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E532A"/>
    <w:pPr>
      <w:spacing w:line="240" w:lineRule="auto"/>
      <w:jc w:val="center"/>
    </w:pPr>
    <w:rPr>
      <w:bCs/>
      <w:color w:val="auto"/>
      <w:sz w:val="18"/>
      <w:szCs w:val="18"/>
    </w:rPr>
  </w:style>
  <w:style w:type="table" w:styleId="Tabellenraster">
    <w:name w:val="Table Grid"/>
    <w:basedOn w:val="NormaleTabelle"/>
    <w:uiPriority w:val="59"/>
    <w:rsid w:val="00CE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27B78"/>
    <w:pPr>
      <w:spacing w:after="0" w:line="240" w:lineRule="auto"/>
      <w:jc w:val="both"/>
    </w:pPr>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383</Words>
  <Characters>2417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2016-08-10T13:24:00Z</dcterms:created>
  <dcterms:modified xsi:type="dcterms:W3CDTF">2016-08-10T13:24:00Z</dcterms:modified>
</cp:coreProperties>
</file>