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7C" w:rsidRPr="008F798B" w:rsidRDefault="00D4317C" w:rsidP="00D4317C">
      <w:pPr>
        <w:pStyle w:val="berschrift2"/>
        <w:numPr>
          <w:ilvl w:val="0"/>
          <w:numId w:val="0"/>
        </w:numPr>
        <w:rPr>
          <w:color w:val="auto"/>
        </w:rPr>
      </w:pPr>
      <w:bookmarkStart w:id="0" w:name="_Toc458101943"/>
      <w:r>
        <w:rPr>
          <w:noProof/>
          <w:lang w:eastAsia="de-DE"/>
        </w:rPr>
        <mc:AlternateContent>
          <mc:Choice Requires="wps">
            <w:drawing>
              <wp:anchor distT="0" distB="0" distL="114300" distR="114300" simplePos="0" relativeHeight="251659264" behindDoc="0" locked="0" layoutInCell="1" allowOverlap="1" wp14:anchorId="04F61ACC" wp14:editId="706EB0EA">
                <wp:simplePos x="0" y="0"/>
                <wp:positionH relativeFrom="column">
                  <wp:posOffset>-58420</wp:posOffset>
                </wp:positionH>
                <wp:positionV relativeFrom="paragraph">
                  <wp:posOffset>476250</wp:posOffset>
                </wp:positionV>
                <wp:extent cx="5873115" cy="1085850"/>
                <wp:effectExtent l="0" t="0" r="13335" b="19050"/>
                <wp:wrapSquare wrapText="bothSides"/>
                <wp:docPr id="3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858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317C" w:rsidRPr="00F31EBF" w:rsidRDefault="00D4317C" w:rsidP="00D4317C">
                            <w:pPr>
                              <w:rPr>
                                <w:color w:val="auto"/>
                              </w:rPr>
                            </w:pPr>
                            <w:r>
                              <w:rPr>
                                <w:color w:val="auto"/>
                              </w:rPr>
                              <w:t>Dieser Versuch zeigt die Abhängigkeit der Reaktionsgeschwindigkeit von enzymatischen Reaktionen. Durch eine Messung des entstehenden Gasvolumens kann ein Volumen-Zeit-Diagramm erstellt und hierüber die Reaktionsgeschwindigkeit ermittelt werden. Zudem wird die Abhängigkeit der Reaktion von der Substratkonzentration aufgezeigt.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61ACC" id="_x0000_t202" coordsize="21600,21600" o:spt="202" path="m,l,21600r21600,l21600,xe">
                <v:stroke joinstyle="miter"/>
                <v:path gradientshapeok="t" o:connecttype="rect"/>
              </v:shapetype>
              <v:shape id="Text Box 195" o:spid="_x0000_s1026" type="#_x0000_t202" style="position:absolute;left:0;text-align:left;margin-left:-4.6pt;margin-top:37.5pt;width:462.4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" fillcolor="white [3201]" strokecolor="#4472c4 [3208]" strokeweight="1pt">
                <v:stroke dashstyle="dash"/>
                <v:shadow color="#868686"/>
                <v:textbox>
                  <w:txbxContent>
                    <w:p w:rsidR="00D4317C" w:rsidRPr="00F31EBF" w:rsidRDefault="00D4317C" w:rsidP="00D4317C">
                      <w:pPr>
                        <w:rPr>
                          <w:color w:val="auto"/>
                        </w:rPr>
                      </w:pPr>
                      <w:r>
                        <w:rPr>
                          <w:color w:val="auto"/>
                        </w:rPr>
                        <w:t>Dieser Versuch zeigt die Abhängigkeit der Reaktionsgeschwindigkeit von enzymatischen Reaktionen. Durch eine Messung des entstehenden Gasvolumens kann ein Volumen-Zeit-Diagramm erstellt und hierüber die Reaktionsgeschwindigkeit ermittelt werden. Zudem wird die Abhängigkeit der Reaktion von der Substratkonzentration aufgezeigt.</w:t>
                      </w:r>
                    </w:p>
                  </w:txbxContent>
                </v:textbox>
                <w10:wrap type="square"/>
              </v:shape>
            </w:pict>
          </mc:Fallback>
        </mc:AlternateContent>
      </w:r>
      <w:r w:rsidRPr="00CC307A">
        <w:rPr>
          <w:color w:val="auto"/>
        </w:rPr>
        <w:t>V</w:t>
      </w:r>
      <w:r>
        <w:rPr>
          <w:color w:val="auto"/>
        </w:rPr>
        <w:t>3</w:t>
      </w:r>
      <w:r w:rsidRPr="00CC307A">
        <w:rPr>
          <w:color w:val="auto"/>
        </w:rPr>
        <w:t xml:space="preserve"> –</w:t>
      </w:r>
      <w:r>
        <w:rPr>
          <w:color w:val="auto"/>
        </w:rPr>
        <w:t xml:space="preserve"> Geschwindigkeitsme</w:t>
      </w:r>
      <w:bookmarkStart w:id="1" w:name="_GoBack"/>
      <w:bookmarkEnd w:id="1"/>
      <w:r>
        <w:rPr>
          <w:color w:val="auto"/>
        </w:rPr>
        <w:t>ssung der Enzymaktivität</w:t>
      </w:r>
      <w:bookmarkEnd w:id="0"/>
    </w:p>
    <w:p w:rsidR="00D4317C" w:rsidRDefault="00D4317C" w:rsidP="00D4317C"/>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4317C" w:rsidRPr="009C5E28" w:rsidTr="00527E73">
        <w:tc>
          <w:tcPr>
            <w:tcW w:w="9322" w:type="dxa"/>
            <w:gridSpan w:val="9"/>
            <w:shd w:val="clear" w:color="auto" w:fill="4F81BD"/>
            <w:vAlign w:val="center"/>
          </w:tcPr>
          <w:p w:rsidR="00D4317C" w:rsidRPr="00F31EBF" w:rsidRDefault="00D4317C" w:rsidP="00527E73">
            <w:pPr>
              <w:spacing w:after="0"/>
              <w:jc w:val="center"/>
              <w:rPr>
                <w:b/>
                <w:bCs/>
                <w:color w:val="FFFFFF" w:themeColor="background1"/>
              </w:rPr>
            </w:pPr>
            <w:r w:rsidRPr="00F31EBF">
              <w:rPr>
                <w:b/>
                <w:bCs/>
                <w:color w:val="FFFFFF" w:themeColor="background1"/>
              </w:rPr>
              <w:t>Gefahrenstoffe</w:t>
            </w:r>
          </w:p>
        </w:tc>
      </w:tr>
      <w:tr w:rsidR="00D4317C" w:rsidRPr="009C5E28" w:rsidTr="00527E73">
        <w:trPr>
          <w:trHeight w:val="434"/>
        </w:trPr>
        <w:tc>
          <w:tcPr>
            <w:tcW w:w="3027" w:type="dxa"/>
            <w:gridSpan w:val="3"/>
            <w:shd w:val="clear" w:color="auto" w:fill="auto"/>
            <w:vAlign w:val="center"/>
          </w:tcPr>
          <w:p w:rsidR="00D4317C" w:rsidRPr="00AF5CCE" w:rsidRDefault="00D4317C" w:rsidP="00527E73">
            <w:pPr>
              <w:spacing w:after="0" w:line="276" w:lineRule="auto"/>
              <w:jc w:val="center"/>
              <w:rPr>
                <w:color w:val="auto"/>
                <w:sz w:val="20"/>
                <w:szCs w:val="20"/>
              </w:rPr>
            </w:pPr>
            <w:r>
              <w:rPr>
                <w:color w:val="auto"/>
                <w:sz w:val="20"/>
                <w:szCs w:val="20"/>
              </w:rPr>
              <w:t>Bäckerhefe</w:t>
            </w:r>
          </w:p>
        </w:tc>
        <w:tc>
          <w:tcPr>
            <w:tcW w:w="3177" w:type="dxa"/>
            <w:gridSpan w:val="3"/>
            <w:shd w:val="clear" w:color="auto" w:fill="auto"/>
            <w:vAlign w:val="center"/>
          </w:tcPr>
          <w:p w:rsidR="00D4317C" w:rsidRPr="00AF5CCE" w:rsidRDefault="00D4317C" w:rsidP="00527E73">
            <w:pPr>
              <w:pStyle w:val="Beschriftung"/>
              <w:spacing w:after="0"/>
              <w:rPr>
                <w:sz w:val="20"/>
                <w:szCs w:val="20"/>
              </w:rPr>
            </w:pPr>
            <w:r w:rsidRPr="00AF5CCE">
              <w:rPr>
                <w:sz w:val="20"/>
                <w:szCs w:val="20"/>
              </w:rPr>
              <w:t>H: -</w:t>
            </w:r>
          </w:p>
        </w:tc>
        <w:tc>
          <w:tcPr>
            <w:tcW w:w="3118" w:type="dxa"/>
            <w:gridSpan w:val="3"/>
            <w:shd w:val="clear" w:color="auto" w:fill="auto"/>
            <w:vAlign w:val="center"/>
          </w:tcPr>
          <w:p w:rsidR="00D4317C" w:rsidRPr="00AF5CCE" w:rsidRDefault="00D4317C" w:rsidP="00527E73">
            <w:pPr>
              <w:pStyle w:val="Beschriftung"/>
              <w:spacing w:after="0"/>
              <w:rPr>
                <w:sz w:val="20"/>
                <w:szCs w:val="20"/>
              </w:rPr>
            </w:pPr>
            <w:r w:rsidRPr="00AF5CCE">
              <w:rPr>
                <w:sz w:val="20"/>
                <w:szCs w:val="20"/>
              </w:rPr>
              <w:t>P: -</w:t>
            </w:r>
          </w:p>
        </w:tc>
      </w:tr>
      <w:tr w:rsidR="00D4317C" w:rsidRPr="009C5E28" w:rsidTr="00527E73">
        <w:trPr>
          <w:trHeight w:val="434"/>
        </w:trPr>
        <w:tc>
          <w:tcPr>
            <w:tcW w:w="3027" w:type="dxa"/>
            <w:gridSpan w:val="3"/>
            <w:shd w:val="clear" w:color="auto" w:fill="auto"/>
            <w:vAlign w:val="center"/>
          </w:tcPr>
          <w:p w:rsidR="00D4317C" w:rsidRPr="00AF5CCE" w:rsidRDefault="00D4317C" w:rsidP="00527E73">
            <w:pPr>
              <w:spacing w:after="0" w:line="276" w:lineRule="auto"/>
              <w:jc w:val="center"/>
              <w:rPr>
                <w:color w:val="auto"/>
                <w:sz w:val="20"/>
                <w:szCs w:val="20"/>
              </w:rPr>
            </w:pPr>
            <w:r>
              <w:rPr>
                <w:color w:val="auto"/>
                <w:sz w:val="20"/>
                <w:szCs w:val="20"/>
              </w:rPr>
              <w:t>Haushaltszucker</w:t>
            </w:r>
          </w:p>
        </w:tc>
        <w:tc>
          <w:tcPr>
            <w:tcW w:w="3177" w:type="dxa"/>
            <w:gridSpan w:val="3"/>
            <w:shd w:val="clear" w:color="auto" w:fill="auto"/>
            <w:vAlign w:val="center"/>
          </w:tcPr>
          <w:p w:rsidR="00D4317C" w:rsidRPr="00AF5CCE" w:rsidRDefault="00D4317C" w:rsidP="00527E73">
            <w:pPr>
              <w:pStyle w:val="Beschriftung"/>
              <w:spacing w:after="0"/>
              <w:rPr>
                <w:sz w:val="20"/>
                <w:szCs w:val="20"/>
              </w:rPr>
            </w:pPr>
            <w:r w:rsidRPr="00AF5CCE">
              <w:rPr>
                <w:sz w:val="20"/>
                <w:szCs w:val="20"/>
              </w:rPr>
              <w:t>H: -</w:t>
            </w:r>
          </w:p>
        </w:tc>
        <w:tc>
          <w:tcPr>
            <w:tcW w:w="3118" w:type="dxa"/>
            <w:gridSpan w:val="3"/>
            <w:shd w:val="clear" w:color="auto" w:fill="auto"/>
            <w:vAlign w:val="center"/>
          </w:tcPr>
          <w:p w:rsidR="00D4317C" w:rsidRPr="00AF5CCE" w:rsidRDefault="00D4317C" w:rsidP="00527E73">
            <w:pPr>
              <w:pStyle w:val="Beschriftung"/>
              <w:spacing w:after="0"/>
              <w:rPr>
                <w:sz w:val="20"/>
                <w:szCs w:val="20"/>
              </w:rPr>
            </w:pPr>
            <w:r w:rsidRPr="00AF5CCE">
              <w:rPr>
                <w:sz w:val="20"/>
                <w:szCs w:val="20"/>
              </w:rPr>
              <w:t>P: -</w:t>
            </w:r>
          </w:p>
        </w:tc>
      </w:tr>
      <w:tr w:rsidR="00D4317C" w:rsidRPr="009C5E28" w:rsidTr="00527E73">
        <w:trPr>
          <w:trHeight w:val="434"/>
        </w:trPr>
        <w:tc>
          <w:tcPr>
            <w:tcW w:w="3027" w:type="dxa"/>
            <w:gridSpan w:val="3"/>
            <w:shd w:val="clear" w:color="auto" w:fill="auto"/>
            <w:vAlign w:val="center"/>
          </w:tcPr>
          <w:p w:rsidR="00D4317C" w:rsidRDefault="00D4317C" w:rsidP="00527E73">
            <w:pPr>
              <w:spacing w:after="0" w:line="276" w:lineRule="auto"/>
              <w:jc w:val="center"/>
              <w:rPr>
                <w:color w:val="auto"/>
                <w:sz w:val="20"/>
                <w:szCs w:val="20"/>
              </w:rPr>
            </w:pPr>
            <w:r>
              <w:rPr>
                <w:color w:val="auto"/>
                <w:sz w:val="20"/>
                <w:szCs w:val="20"/>
              </w:rPr>
              <w:t>Wasser</w:t>
            </w:r>
          </w:p>
        </w:tc>
        <w:tc>
          <w:tcPr>
            <w:tcW w:w="3177" w:type="dxa"/>
            <w:gridSpan w:val="3"/>
            <w:shd w:val="clear" w:color="auto" w:fill="auto"/>
            <w:vAlign w:val="center"/>
          </w:tcPr>
          <w:p w:rsidR="00D4317C" w:rsidRPr="00AF5CCE" w:rsidRDefault="00D4317C" w:rsidP="00527E73">
            <w:pPr>
              <w:pStyle w:val="Beschriftung"/>
              <w:spacing w:after="0"/>
              <w:rPr>
                <w:sz w:val="20"/>
                <w:szCs w:val="20"/>
              </w:rPr>
            </w:pPr>
            <w:r>
              <w:rPr>
                <w:sz w:val="20"/>
                <w:szCs w:val="20"/>
              </w:rPr>
              <w:t>H: -</w:t>
            </w:r>
          </w:p>
        </w:tc>
        <w:tc>
          <w:tcPr>
            <w:tcW w:w="3118" w:type="dxa"/>
            <w:gridSpan w:val="3"/>
            <w:shd w:val="clear" w:color="auto" w:fill="auto"/>
            <w:vAlign w:val="center"/>
          </w:tcPr>
          <w:p w:rsidR="00D4317C" w:rsidRPr="00AF5CCE" w:rsidRDefault="00D4317C" w:rsidP="00527E73">
            <w:pPr>
              <w:pStyle w:val="Beschriftung"/>
              <w:spacing w:after="0"/>
              <w:rPr>
                <w:sz w:val="20"/>
                <w:szCs w:val="20"/>
              </w:rPr>
            </w:pPr>
            <w:r>
              <w:rPr>
                <w:sz w:val="20"/>
                <w:szCs w:val="20"/>
              </w:rPr>
              <w:t>P: -</w:t>
            </w:r>
          </w:p>
        </w:tc>
      </w:tr>
      <w:tr w:rsidR="00D4317C" w:rsidRPr="009C5E28" w:rsidTr="00527E73">
        <w:trPr>
          <w:trHeight w:val="434"/>
        </w:trPr>
        <w:tc>
          <w:tcPr>
            <w:tcW w:w="3027" w:type="dxa"/>
            <w:gridSpan w:val="3"/>
            <w:shd w:val="clear" w:color="auto" w:fill="auto"/>
            <w:vAlign w:val="center"/>
          </w:tcPr>
          <w:p w:rsidR="00D4317C" w:rsidRDefault="00D4317C" w:rsidP="00527E73">
            <w:pPr>
              <w:spacing w:after="0" w:line="276" w:lineRule="auto"/>
              <w:jc w:val="center"/>
              <w:rPr>
                <w:color w:val="auto"/>
                <w:sz w:val="20"/>
                <w:szCs w:val="20"/>
              </w:rPr>
            </w:pPr>
            <w:r>
              <w:rPr>
                <w:color w:val="auto"/>
                <w:sz w:val="20"/>
                <w:szCs w:val="20"/>
              </w:rPr>
              <w:t>Kohlenstoffdioxid</w:t>
            </w:r>
          </w:p>
        </w:tc>
        <w:tc>
          <w:tcPr>
            <w:tcW w:w="3177" w:type="dxa"/>
            <w:gridSpan w:val="3"/>
            <w:shd w:val="clear" w:color="auto" w:fill="auto"/>
            <w:vAlign w:val="center"/>
          </w:tcPr>
          <w:p w:rsidR="00D4317C" w:rsidRDefault="00D4317C" w:rsidP="00527E73">
            <w:pPr>
              <w:pStyle w:val="Beschriftung"/>
              <w:spacing w:after="0"/>
              <w:rPr>
                <w:sz w:val="20"/>
                <w:szCs w:val="20"/>
              </w:rPr>
            </w:pPr>
            <w:r>
              <w:rPr>
                <w:sz w:val="20"/>
                <w:szCs w:val="20"/>
              </w:rPr>
              <w:t>H: -</w:t>
            </w:r>
          </w:p>
        </w:tc>
        <w:tc>
          <w:tcPr>
            <w:tcW w:w="3118" w:type="dxa"/>
            <w:gridSpan w:val="3"/>
            <w:shd w:val="clear" w:color="auto" w:fill="auto"/>
            <w:vAlign w:val="center"/>
          </w:tcPr>
          <w:p w:rsidR="00D4317C" w:rsidRDefault="00D4317C" w:rsidP="00527E73">
            <w:pPr>
              <w:pStyle w:val="Beschriftung"/>
              <w:spacing w:after="0"/>
              <w:rPr>
                <w:sz w:val="20"/>
                <w:szCs w:val="20"/>
              </w:rPr>
            </w:pPr>
            <w:r>
              <w:rPr>
                <w:sz w:val="20"/>
                <w:szCs w:val="20"/>
              </w:rPr>
              <w:t>P: -</w:t>
            </w:r>
          </w:p>
        </w:tc>
      </w:tr>
      <w:tr w:rsidR="00D4317C" w:rsidRPr="009C5E28" w:rsidTr="00527E73">
        <w:tc>
          <w:tcPr>
            <w:tcW w:w="1009" w:type="dxa"/>
            <w:shd w:val="clear" w:color="auto" w:fill="auto"/>
            <w:vAlign w:val="center"/>
          </w:tcPr>
          <w:p w:rsidR="00D4317C" w:rsidRPr="009C5E28" w:rsidRDefault="00D4317C" w:rsidP="00527E73">
            <w:pPr>
              <w:spacing w:after="0"/>
              <w:jc w:val="center"/>
              <w:rPr>
                <w:b/>
                <w:bCs/>
              </w:rPr>
            </w:pPr>
            <w:r>
              <w:rPr>
                <w:b/>
                <w:bCs/>
                <w:noProof/>
                <w:lang w:eastAsia="de-DE"/>
              </w:rPr>
              <w:drawing>
                <wp:inline distT="0" distB="0" distL="0" distR="0" wp14:anchorId="6185F2AC" wp14:editId="6ABB9F73">
                  <wp:extent cx="501650" cy="501650"/>
                  <wp:effectExtent l="0" t="0" r="0" b="0"/>
                  <wp:docPr id="9" name="Bild 9"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tze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3AE0FF5B" wp14:editId="64B11435">
                  <wp:extent cx="494665" cy="494665"/>
                  <wp:effectExtent l="0" t="0" r="635" b="635"/>
                  <wp:docPr id="17" name="Bild 17"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andförder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noFill/>
                          <a:ln>
                            <a:noFill/>
                          </a:ln>
                        </pic:spPr>
                      </pic:pic>
                    </a:graphicData>
                  </a:graphic>
                </wp:inline>
              </w:drawing>
            </w:r>
          </w:p>
        </w:tc>
        <w:tc>
          <w:tcPr>
            <w:tcW w:w="1009"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78612066" wp14:editId="4124DF84">
                  <wp:extent cx="501650" cy="501650"/>
                  <wp:effectExtent l="0" t="0" r="0" b="0"/>
                  <wp:docPr id="8" name="Bild 1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nn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3E9FAB89" wp14:editId="0E8485C8">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0D0D096C" wp14:editId="482F3DD0">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57633CA3" wp14:editId="151A1E85">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26119DF9" wp14:editId="0CE62224">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73B879E5" wp14:editId="07293696">
                  <wp:extent cx="497840" cy="497840"/>
                  <wp:effectExtent l="0" t="0" r="0" b="0"/>
                  <wp:docPr id="22" name="Grafik 22"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ize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840" cy="497840"/>
                          </a:xfrm>
                          <a:prstGeom prst="rect">
                            <a:avLst/>
                          </a:prstGeom>
                          <a:noFill/>
                          <a:ln>
                            <a:noFill/>
                          </a:ln>
                        </pic:spPr>
                      </pic:pic>
                    </a:graphicData>
                  </a:graphic>
                </wp:inline>
              </w:drawing>
            </w:r>
          </w:p>
        </w:tc>
        <w:tc>
          <w:tcPr>
            <w:tcW w:w="1134" w:type="dxa"/>
            <w:shd w:val="clear" w:color="auto" w:fill="auto"/>
            <w:vAlign w:val="center"/>
          </w:tcPr>
          <w:p w:rsidR="00D4317C" w:rsidRPr="009C5E28" w:rsidRDefault="00D4317C" w:rsidP="00527E73">
            <w:pPr>
              <w:spacing w:after="0"/>
              <w:jc w:val="center"/>
            </w:pPr>
            <w:r>
              <w:rPr>
                <w:noProof/>
                <w:lang w:eastAsia="de-DE"/>
              </w:rPr>
              <w:drawing>
                <wp:inline distT="0" distB="0" distL="0" distR="0" wp14:anchorId="531FDDA6" wp14:editId="08871C40">
                  <wp:extent cx="584200" cy="584200"/>
                  <wp:effectExtent l="0" t="0" r="0" b="0"/>
                  <wp:docPr id="6" name="Bild 1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mweltgefah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r>
        <w:t xml:space="preserve">Materialien: </w:t>
      </w:r>
      <w:r>
        <w:tab/>
      </w:r>
      <w:r>
        <w:tab/>
        <w:t>Pneumatische Wanne, Messzylinder, Stativmaterial, Reagenzglas mit Olive, PVC-Schlauch, Wasserbad (38 °C), Stopfen, Stoppuhr</w:t>
      </w:r>
    </w:p>
    <w:p w:rsidR="00D4317C" w:rsidRDefault="00D4317C" w:rsidP="00D4317C">
      <w:pPr>
        <w:tabs>
          <w:tab w:val="left" w:pos="1701"/>
          <w:tab w:val="left" w:pos="1985"/>
        </w:tabs>
        <w:ind w:left="1980" w:hanging="1980"/>
      </w:pPr>
      <w:r>
        <w:t>Chemikalien:</w:t>
      </w:r>
      <w:r>
        <w:tab/>
      </w:r>
      <w:r>
        <w:tab/>
        <w:t>Bäckerhefe, Haushaltszucker, Wasser</w:t>
      </w:r>
    </w:p>
    <w:p w:rsidR="00D4317C" w:rsidRDefault="00D4317C" w:rsidP="00D4317C">
      <w:pPr>
        <w:tabs>
          <w:tab w:val="left" w:pos="1701"/>
          <w:tab w:val="left" w:pos="1985"/>
        </w:tabs>
        <w:ind w:left="1980" w:hanging="1980"/>
      </w:pPr>
      <w:r>
        <w:rPr>
          <w:noProof/>
          <w:lang w:eastAsia="de-DE"/>
        </w:rPr>
        <w:drawing>
          <wp:anchor distT="0" distB="0" distL="114300" distR="114300" simplePos="0" relativeHeight="251661312" behindDoc="0" locked="0" layoutInCell="1" allowOverlap="1" wp14:anchorId="425368CA" wp14:editId="14E7E74D">
            <wp:simplePos x="0" y="0"/>
            <wp:positionH relativeFrom="column">
              <wp:posOffset>1254760</wp:posOffset>
            </wp:positionH>
            <wp:positionV relativeFrom="paragraph">
              <wp:align>bottom</wp:align>
            </wp:positionV>
            <wp:extent cx="4083050" cy="2834005"/>
            <wp:effectExtent l="0" t="0" r="0" b="4445"/>
            <wp:wrapNone/>
            <wp:docPr id="54" name="Bild 6" descr="IMG_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6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3050" cy="2834005"/>
                    </a:xfrm>
                    <a:prstGeom prst="rect">
                      <a:avLst/>
                    </a:prstGeom>
                    <a:noFill/>
                  </pic:spPr>
                </pic:pic>
              </a:graphicData>
            </a:graphic>
            <wp14:sizeRelH relativeFrom="page">
              <wp14:pctWidth>0</wp14:pctWidth>
            </wp14:sizeRelH>
            <wp14:sizeRelV relativeFrom="page">
              <wp14:pctHeight>0</wp14:pctHeight>
            </wp14:sizeRelV>
          </wp:anchor>
        </w:drawing>
      </w:r>
      <w:r>
        <w:t>Aufbau:</w:t>
      </w:r>
      <w:r>
        <w:tab/>
      </w:r>
      <w:r>
        <w:tab/>
      </w:r>
    </w:p>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r>
        <w:rPr>
          <w:noProof/>
          <w:lang w:eastAsia="de-DE"/>
        </w:rPr>
        <mc:AlternateContent>
          <mc:Choice Requires="wps">
            <w:drawing>
              <wp:anchor distT="0" distB="0" distL="114300" distR="114300" simplePos="0" relativeHeight="251662336" behindDoc="0" locked="0" layoutInCell="1" allowOverlap="1" wp14:anchorId="1FA12740" wp14:editId="046B9786">
                <wp:simplePos x="0" y="0"/>
                <wp:positionH relativeFrom="column">
                  <wp:posOffset>1281449</wp:posOffset>
                </wp:positionH>
                <wp:positionV relativeFrom="paragraph">
                  <wp:posOffset>330584</wp:posOffset>
                </wp:positionV>
                <wp:extent cx="4083050" cy="635"/>
                <wp:effectExtent l="0" t="0" r="0" b="18415"/>
                <wp:wrapNone/>
                <wp:docPr id="14" name="Textfeld 14"/>
                <wp:cNvGraphicFramePr/>
                <a:graphic xmlns:a="http://schemas.openxmlformats.org/drawingml/2006/main">
                  <a:graphicData uri="http://schemas.microsoft.com/office/word/2010/wordprocessingShape">
                    <wps:wsp>
                      <wps:cNvSpPr txBox="1"/>
                      <wps:spPr>
                        <a:xfrm>
                          <a:off x="0" y="0"/>
                          <a:ext cx="4083050" cy="635"/>
                        </a:xfrm>
                        <a:prstGeom prst="rect">
                          <a:avLst/>
                        </a:prstGeom>
                        <a:solidFill>
                          <a:prstClr val="white"/>
                        </a:solidFill>
                        <a:ln>
                          <a:noFill/>
                        </a:ln>
                      </wps:spPr>
                      <wps:txbx>
                        <w:txbxContent>
                          <w:p w:rsidR="00D4317C" w:rsidRPr="00093B0A" w:rsidRDefault="00D4317C" w:rsidP="00D4317C">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Versuchsaufbau zur Geschwindigkeitsmessung der Enzymaktivität.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A12740" id="Textfeld 14" o:spid="_x0000_s1027" type="#_x0000_t202" style="position:absolute;left:0;text-align:left;margin-left:100.9pt;margin-top:26.05pt;width:32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" stroked="f">
                <v:textbox style="mso-fit-shape-to-text:t" inset="0,0,0,0">
                  <w:txbxContent>
                    <w:p w:rsidR="00D4317C" w:rsidRPr="00093B0A" w:rsidRDefault="00D4317C" w:rsidP="00D4317C">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Versuchsaufbau zur Geschwindigkeitsmessung der Enzymaktivität.</w:t>
                      </w:r>
                    </w:p>
                  </w:txbxContent>
                </v:textbox>
              </v:shape>
            </w:pict>
          </mc:Fallback>
        </mc:AlternateContent>
      </w:r>
    </w:p>
    <w:p w:rsidR="00D4317C" w:rsidRDefault="00D4317C" w:rsidP="00D4317C">
      <w:pPr>
        <w:tabs>
          <w:tab w:val="left" w:pos="1701"/>
          <w:tab w:val="left" w:pos="1985"/>
        </w:tabs>
        <w:ind w:left="1980" w:hanging="1980"/>
      </w:pPr>
    </w:p>
    <w:p w:rsidR="00D4317C" w:rsidRDefault="00D4317C" w:rsidP="00D4317C">
      <w:pPr>
        <w:tabs>
          <w:tab w:val="left" w:pos="1701"/>
          <w:tab w:val="left" w:pos="1985"/>
        </w:tabs>
        <w:ind w:left="1980" w:hanging="1980"/>
      </w:pPr>
      <w:r>
        <w:lastRenderedPageBreak/>
        <w:t>Durchführung:</w:t>
      </w:r>
      <w:r>
        <w:tab/>
      </w:r>
      <w:r>
        <w:tab/>
        <w:t>Der Messzylinder wird mit Wasser gefüllt und mit der Öffnung nach unten zum Auffangen von Gasen in der pneumatischen Wanne platziert. Diese wird über einen PVC-Schlauch mit dem Reagenzglas verbunden. Aus 20 g Hefe und 100 mL Wasser wird eine Suspension hergestellt, von der 10 mL in das Reagenzglas mit Olive gegeben werden. 20 g Haushaltszucker werden in 100 mL Wasser gelöst und davon 20 mL zur Hefesuspension in das Reagenzglas gefüllt, dass nun mit einem Stopfen verschlossen wird. Die Zeit wird gemessen und das Gasvolumen protokolliert. Der Versuch wird mit einer zehnfach verdünnten Zuckerlösung wiederholt</w:t>
      </w:r>
    </w:p>
    <w:p w:rsidR="00D4317C" w:rsidRDefault="00D4317C" w:rsidP="00D4317C">
      <w:pPr>
        <w:tabs>
          <w:tab w:val="left" w:pos="1701"/>
          <w:tab w:val="left" w:pos="1985"/>
        </w:tabs>
        <w:ind w:left="1980" w:hanging="1980"/>
      </w:pPr>
      <w:r>
        <w:t>Beobachtung:</w:t>
      </w:r>
      <w:r>
        <w:tab/>
      </w:r>
      <w:r>
        <w:tab/>
        <w:t>Nach etwa 5 Minuten ist eine Gasentwicklung zu beobachten. Die Skala des Messzylinders beginnt bei 5 mL und ist nach 11,5 Minuten erreicht. Ab hier steigt das Gasvolumen, wie in Tabelle 4 aufgezeichnet.</w:t>
      </w:r>
    </w:p>
    <w:p w:rsidR="00D4317C" w:rsidRDefault="00D4317C" w:rsidP="00D4317C">
      <w:pPr>
        <w:pStyle w:val="Beschriftung"/>
        <w:keepNext/>
      </w:pPr>
      <w:r>
        <w:t xml:space="preserve">Tabelle </w:t>
      </w:r>
      <w:r>
        <w:fldChar w:fldCharType="begin"/>
      </w:r>
      <w:r>
        <w:instrText xml:space="preserve"> SEQ Tabelle \* ARABIC </w:instrText>
      </w:r>
      <w:r>
        <w:fldChar w:fldCharType="separate"/>
      </w:r>
      <w:r>
        <w:rPr>
          <w:noProof/>
        </w:rPr>
        <w:t>4</w:t>
      </w:r>
      <w:r>
        <w:rPr>
          <w:noProof/>
        </w:rPr>
        <w:fldChar w:fldCharType="end"/>
      </w:r>
      <w:r>
        <w:t>: Messwerte des Versuchs zur Geschwindigkeitsmessung der Enzymkinetik.</w:t>
      </w:r>
    </w:p>
    <w:tbl>
      <w:tblPr>
        <w:tblStyle w:val="Tabellenraster"/>
        <w:tblW w:w="0" w:type="auto"/>
        <w:tblInd w:w="1980" w:type="dxa"/>
        <w:tblLook w:val="04A0" w:firstRow="1" w:lastRow="0" w:firstColumn="1" w:lastColumn="0" w:noHBand="0" w:noVBand="1"/>
      </w:tblPr>
      <w:tblGrid>
        <w:gridCol w:w="883"/>
        <w:gridCol w:w="1056"/>
        <w:gridCol w:w="1030"/>
        <w:gridCol w:w="860"/>
        <w:gridCol w:w="756"/>
        <w:gridCol w:w="756"/>
        <w:gridCol w:w="984"/>
      </w:tblGrid>
      <w:tr w:rsidR="00D4317C" w:rsidRPr="00D4317C" w:rsidTr="00D4317C">
        <w:trPr>
          <w:trHeight w:val="283"/>
        </w:trPr>
        <w:tc>
          <w:tcPr>
            <w:tcW w:w="2969" w:type="dxa"/>
            <w:gridSpan w:val="3"/>
            <w:vAlign w:val="center"/>
          </w:tcPr>
          <w:p w:rsidR="00D4317C" w:rsidRPr="00D4317C" w:rsidRDefault="00D4317C" w:rsidP="00D4317C">
            <w:pPr>
              <w:pStyle w:val="KeinLeerraum"/>
              <w:jc w:val="center"/>
              <w:rPr>
                <w:sz w:val="20"/>
                <w:szCs w:val="20"/>
              </w:rPr>
            </w:pPr>
            <w:r w:rsidRPr="00D4317C">
              <w:rPr>
                <w:sz w:val="20"/>
                <w:szCs w:val="20"/>
              </w:rPr>
              <w:t>Zuckerlösung 1</w:t>
            </w:r>
          </w:p>
        </w:tc>
        <w:tc>
          <w:tcPr>
            <w:tcW w:w="860" w:type="dxa"/>
            <w:vMerge w:val="restart"/>
            <w:tcBorders>
              <w:top w:val="nil"/>
              <w:bottom w:val="nil"/>
            </w:tcBorders>
            <w:vAlign w:val="center"/>
          </w:tcPr>
          <w:p w:rsidR="00D4317C" w:rsidRPr="00D4317C" w:rsidRDefault="00D4317C" w:rsidP="00D4317C">
            <w:pPr>
              <w:pStyle w:val="KeinLeerraum"/>
              <w:jc w:val="center"/>
              <w:rPr>
                <w:sz w:val="20"/>
                <w:szCs w:val="20"/>
              </w:rPr>
            </w:pPr>
          </w:p>
        </w:tc>
        <w:tc>
          <w:tcPr>
            <w:tcW w:w="2373" w:type="dxa"/>
            <w:gridSpan w:val="3"/>
            <w:vAlign w:val="center"/>
          </w:tcPr>
          <w:p w:rsidR="00D4317C" w:rsidRPr="00D4317C" w:rsidRDefault="00D4317C" w:rsidP="00D4317C">
            <w:pPr>
              <w:pStyle w:val="KeinLeerraum"/>
              <w:jc w:val="center"/>
              <w:rPr>
                <w:sz w:val="20"/>
                <w:szCs w:val="20"/>
              </w:rPr>
            </w:pPr>
            <w:r w:rsidRPr="00D4317C">
              <w:rPr>
                <w:sz w:val="20"/>
                <w:szCs w:val="20"/>
              </w:rPr>
              <w:t>Zuckerlösung 2</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t</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t</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Volumen</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t</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t</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Volumen</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[min]</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[s]</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[mL]</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[min]</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[s]</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[mL]</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0</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0</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0</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0</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300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0</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5</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300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0</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11,5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690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5</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10</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600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0</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13</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780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7</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22</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1320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5</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14,5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870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9</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25</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1500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7</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17</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1020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12,5</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27</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1620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8,5</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19,5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1170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16</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29</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1740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10</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22</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1320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20</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32,5</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1950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12</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25,5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1530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25</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35</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2100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14</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27,5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1650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28</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37,5</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2250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15</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30</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1800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32</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r w:rsidRPr="00D4317C">
              <w:rPr>
                <w:sz w:val="20"/>
                <w:szCs w:val="20"/>
              </w:rPr>
              <w:t>40</w:t>
            </w:r>
          </w:p>
        </w:tc>
        <w:tc>
          <w:tcPr>
            <w:tcW w:w="756" w:type="dxa"/>
            <w:vAlign w:val="center"/>
          </w:tcPr>
          <w:p w:rsidR="00D4317C" w:rsidRPr="00D4317C" w:rsidRDefault="00D4317C" w:rsidP="00D4317C">
            <w:pPr>
              <w:pStyle w:val="KeinLeerraum"/>
              <w:jc w:val="center"/>
              <w:rPr>
                <w:sz w:val="20"/>
                <w:szCs w:val="20"/>
              </w:rPr>
            </w:pPr>
            <w:r w:rsidRPr="00D4317C">
              <w:rPr>
                <w:sz w:val="20"/>
                <w:szCs w:val="20"/>
              </w:rPr>
              <w:t>2400</w:t>
            </w:r>
          </w:p>
        </w:tc>
        <w:tc>
          <w:tcPr>
            <w:tcW w:w="861" w:type="dxa"/>
            <w:vAlign w:val="center"/>
          </w:tcPr>
          <w:p w:rsidR="00D4317C" w:rsidRPr="00D4317C" w:rsidRDefault="00D4317C" w:rsidP="00D4317C">
            <w:pPr>
              <w:pStyle w:val="KeinLeerraum"/>
              <w:jc w:val="center"/>
              <w:rPr>
                <w:sz w:val="20"/>
                <w:szCs w:val="20"/>
              </w:rPr>
            </w:pPr>
            <w:r w:rsidRPr="00D4317C">
              <w:rPr>
                <w:sz w:val="20"/>
                <w:szCs w:val="20"/>
              </w:rPr>
              <w:t>16</w:t>
            </w: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32,5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1950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35</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861" w:type="dxa"/>
            <w:vAlign w:val="center"/>
          </w:tcPr>
          <w:p w:rsidR="00D4317C" w:rsidRPr="00D4317C" w:rsidRDefault="00D4317C" w:rsidP="00D4317C">
            <w:pPr>
              <w:pStyle w:val="KeinLeerraum"/>
              <w:jc w:val="center"/>
              <w:rPr>
                <w:sz w:val="20"/>
                <w:szCs w:val="20"/>
              </w:rPr>
            </w:pP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35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2100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39</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861" w:type="dxa"/>
            <w:vAlign w:val="center"/>
          </w:tcPr>
          <w:p w:rsidR="00D4317C" w:rsidRPr="00D4317C" w:rsidRDefault="00D4317C" w:rsidP="00D4317C">
            <w:pPr>
              <w:pStyle w:val="KeinLeerraum"/>
              <w:jc w:val="center"/>
              <w:rPr>
                <w:sz w:val="20"/>
                <w:szCs w:val="20"/>
              </w:rPr>
            </w:pP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37,5</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2250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43</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861" w:type="dxa"/>
            <w:vAlign w:val="center"/>
          </w:tcPr>
          <w:p w:rsidR="00D4317C" w:rsidRPr="00D4317C" w:rsidRDefault="00D4317C" w:rsidP="00D4317C">
            <w:pPr>
              <w:pStyle w:val="KeinLeerraum"/>
              <w:jc w:val="center"/>
              <w:rPr>
                <w:sz w:val="20"/>
                <w:szCs w:val="20"/>
              </w:rPr>
            </w:pPr>
          </w:p>
        </w:tc>
      </w:tr>
      <w:tr w:rsidR="00D4317C" w:rsidRPr="00D4317C" w:rsidTr="00D4317C">
        <w:trPr>
          <w:trHeight w:val="283"/>
        </w:trPr>
        <w:tc>
          <w:tcPr>
            <w:tcW w:w="883" w:type="dxa"/>
            <w:vAlign w:val="center"/>
          </w:tcPr>
          <w:p w:rsidR="00D4317C" w:rsidRPr="00D4317C" w:rsidRDefault="00D4317C" w:rsidP="00D4317C">
            <w:pPr>
              <w:pStyle w:val="KeinLeerraum"/>
              <w:jc w:val="center"/>
              <w:rPr>
                <w:sz w:val="20"/>
                <w:szCs w:val="20"/>
              </w:rPr>
            </w:pPr>
            <w:r w:rsidRPr="00D4317C">
              <w:rPr>
                <w:sz w:val="20"/>
                <w:szCs w:val="20"/>
              </w:rPr>
              <w:t>40</w:t>
            </w:r>
          </w:p>
        </w:tc>
        <w:tc>
          <w:tcPr>
            <w:tcW w:w="1056" w:type="dxa"/>
            <w:vAlign w:val="center"/>
          </w:tcPr>
          <w:p w:rsidR="00D4317C" w:rsidRPr="00D4317C" w:rsidRDefault="00D4317C" w:rsidP="00D4317C">
            <w:pPr>
              <w:pStyle w:val="KeinLeerraum"/>
              <w:jc w:val="center"/>
              <w:rPr>
                <w:sz w:val="20"/>
                <w:szCs w:val="20"/>
              </w:rPr>
            </w:pPr>
            <w:r w:rsidRPr="00D4317C">
              <w:rPr>
                <w:sz w:val="20"/>
                <w:szCs w:val="20"/>
              </w:rPr>
              <w:t>2400</w:t>
            </w:r>
          </w:p>
        </w:tc>
        <w:tc>
          <w:tcPr>
            <w:tcW w:w="1030" w:type="dxa"/>
            <w:vAlign w:val="center"/>
          </w:tcPr>
          <w:p w:rsidR="00D4317C" w:rsidRPr="00D4317C" w:rsidRDefault="00D4317C" w:rsidP="00D4317C">
            <w:pPr>
              <w:pStyle w:val="KeinLeerraum"/>
              <w:jc w:val="center"/>
              <w:rPr>
                <w:sz w:val="20"/>
                <w:szCs w:val="20"/>
              </w:rPr>
            </w:pPr>
            <w:r w:rsidRPr="00D4317C">
              <w:rPr>
                <w:sz w:val="20"/>
                <w:szCs w:val="20"/>
              </w:rPr>
              <w:t>47</w:t>
            </w:r>
          </w:p>
        </w:tc>
        <w:tc>
          <w:tcPr>
            <w:tcW w:w="860" w:type="dxa"/>
            <w:vMerge/>
            <w:tcBorders>
              <w:bottom w:val="nil"/>
            </w:tcBorders>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756" w:type="dxa"/>
            <w:vAlign w:val="center"/>
          </w:tcPr>
          <w:p w:rsidR="00D4317C" w:rsidRPr="00D4317C" w:rsidRDefault="00D4317C" w:rsidP="00D4317C">
            <w:pPr>
              <w:pStyle w:val="KeinLeerraum"/>
              <w:jc w:val="center"/>
              <w:rPr>
                <w:sz w:val="20"/>
                <w:szCs w:val="20"/>
              </w:rPr>
            </w:pPr>
          </w:p>
        </w:tc>
        <w:tc>
          <w:tcPr>
            <w:tcW w:w="861" w:type="dxa"/>
            <w:vAlign w:val="center"/>
          </w:tcPr>
          <w:p w:rsidR="00D4317C" w:rsidRPr="00D4317C" w:rsidRDefault="00D4317C" w:rsidP="00D4317C">
            <w:pPr>
              <w:pStyle w:val="KeinLeerraum"/>
              <w:jc w:val="center"/>
              <w:rPr>
                <w:sz w:val="20"/>
                <w:szCs w:val="20"/>
              </w:rPr>
            </w:pPr>
          </w:p>
        </w:tc>
      </w:tr>
    </w:tbl>
    <w:p w:rsidR="00D4317C" w:rsidRDefault="00D4317C" w:rsidP="00D4317C">
      <w:pPr>
        <w:tabs>
          <w:tab w:val="left" w:pos="1701"/>
          <w:tab w:val="left" w:pos="1985"/>
        </w:tabs>
        <w:ind w:left="1980" w:hanging="1980"/>
      </w:pPr>
    </w:p>
    <w:p w:rsidR="00D4317C" w:rsidRDefault="00D4317C" w:rsidP="00D4317C">
      <w:pPr>
        <w:tabs>
          <w:tab w:val="left" w:pos="1276"/>
          <w:tab w:val="left" w:pos="1985"/>
        </w:tabs>
        <w:ind w:left="1985" w:hanging="1985"/>
      </w:pPr>
      <w:r>
        <w:t>Deutung:</w:t>
      </w:r>
      <w:r>
        <w:tab/>
      </w:r>
      <w:r>
        <w:tab/>
        <w:t xml:space="preserve">Die Geschwindigkeit der Reaktion kann über ein Volumen-Zeit-Diagramm ermittelt werden. In </w:t>
      </w:r>
      <w:r>
        <w:fldChar w:fldCharType="begin"/>
      </w:r>
      <w:r>
        <w:instrText xml:space="preserve"> REF _Ref458159325 \h </w:instrText>
      </w:r>
      <w:r>
        <w:fldChar w:fldCharType="separate"/>
      </w:r>
      <w:r>
        <w:t xml:space="preserve">Abbildung </w:t>
      </w:r>
      <w:r>
        <w:rPr>
          <w:noProof/>
        </w:rPr>
        <w:t>5</w:t>
      </w:r>
      <w:r>
        <w:fldChar w:fldCharType="end"/>
      </w:r>
      <w:r>
        <w:t xml:space="preserve"> sind die Messwerte für beide Zuckerlösungen aufgetragen und werden im Weiteren mit Substratkonzentration bezeichnet. Die Substratkonzentration 1 ist aufgrund der durchgeführten Verdünnung um das zehnfache größer, als die Substratkonzentration 2.</w:t>
      </w: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r>
        <w:rPr>
          <w:noProof/>
          <w:lang w:eastAsia="de-DE"/>
        </w:rPr>
        <w:lastRenderedPageBreak/>
        <mc:AlternateContent>
          <mc:Choice Requires="wps">
            <w:drawing>
              <wp:anchor distT="0" distB="0" distL="114300" distR="114300" simplePos="0" relativeHeight="251663360" behindDoc="0" locked="0" layoutInCell="1" allowOverlap="1" wp14:anchorId="2EA097EB" wp14:editId="61F0DA9A">
                <wp:simplePos x="0" y="0"/>
                <wp:positionH relativeFrom="column">
                  <wp:posOffset>0</wp:posOffset>
                </wp:positionH>
                <wp:positionV relativeFrom="paragraph">
                  <wp:posOffset>3476625</wp:posOffset>
                </wp:positionV>
                <wp:extent cx="5760720" cy="635"/>
                <wp:effectExtent l="0" t="0" r="0" b="18415"/>
                <wp:wrapNone/>
                <wp:docPr id="15" name="Textfeld 15"/>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rsidR="00D4317C" w:rsidRPr="00020DEC" w:rsidRDefault="00D4317C" w:rsidP="00D4317C">
                            <w:pPr>
                              <w:pStyle w:val="Beschriftung"/>
                              <w:rPr>
                                <w:noProof/>
                                <w:color w:val="171717" w:themeColor="background2" w:themeShade="1A"/>
                              </w:rPr>
                            </w:pPr>
                            <w:bookmarkStart w:id="2" w:name="_Ref458159325"/>
                            <w:r>
                              <w:t xml:space="preserve">Abbildung </w:t>
                            </w:r>
                            <w:r>
                              <w:fldChar w:fldCharType="begin"/>
                            </w:r>
                            <w:r>
                              <w:instrText xml:space="preserve"> SEQ Abbildung \* ARABIC </w:instrText>
                            </w:r>
                            <w:r>
                              <w:fldChar w:fldCharType="separate"/>
                            </w:r>
                            <w:r>
                              <w:rPr>
                                <w:noProof/>
                              </w:rPr>
                              <w:t>5</w:t>
                            </w:r>
                            <w:r>
                              <w:rPr>
                                <w:noProof/>
                              </w:rPr>
                              <w:fldChar w:fldCharType="end"/>
                            </w:r>
                            <w:bookmarkEnd w:id="2"/>
                            <w:r>
                              <w:t>: Volumen-Zeit-Diagramm zur Bestimmung der Reaktionsgeschwindigkeit in Abhängigkeit der Substratkonzentration.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A097EB" id="Textfeld 15" o:spid="_x0000_s1028" type="#_x0000_t202" style="position:absolute;left:0;text-align:left;margin-left:0;margin-top:273.75pt;width:453.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" stroked="f">
                <v:textbox style="mso-fit-shape-to-text:t" inset="0,0,0,0">
                  <w:txbxContent>
                    <w:p w:rsidR="00D4317C" w:rsidRPr="00020DEC" w:rsidRDefault="00D4317C" w:rsidP="00D4317C">
                      <w:pPr>
                        <w:pStyle w:val="Beschriftung"/>
                        <w:rPr>
                          <w:noProof/>
                          <w:color w:val="171717" w:themeColor="background2" w:themeShade="1A"/>
                        </w:rPr>
                      </w:pPr>
                      <w:bookmarkStart w:id="3" w:name="_Ref458159325"/>
                      <w:r>
                        <w:t xml:space="preserve">Abbildung </w:t>
                      </w:r>
                      <w:r>
                        <w:fldChar w:fldCharType="begin"/>
                      </w:r>
                      <w:r>
                        <w:instrText xml:space="preserve"> SEQ Abbildung \* ARABIC </w:instrText>
                      </w:r>
                      <w:r>
                        <w:fldChar w:fldCharType="separate"/>
                      </w:r>
                      <w:r>
                        <w:rPr>
                          <w:noProof/>
                        </w:rPr>
                        <w:t>5</w:t>
                      </w:r>
                      <w:r>
                        <w:rPr>
                          <w:noProof/>
                        </w:rPr>
                        <w:fldChar w:fldCharType="end"/>
                      </w:r>
                      <w:bookmarkEnd w:id="3"/>
                      <w:r>
                        <w:t>: Volumen-Zeit-Diagramm zur Bestimmung der Reaktionsgeschwindigkeit in Abhängigkeit der Substratkonzentration.</w:t>
                      </w:r>
                    </w:p>
                  </w:txbxContent>
                </v:textbox>
              </v:shape>
            </w:pict>
          </mc:Fallback>
        </mc:AlternateContent>
      </w:r>
      <w:r>
        <w:rPr>
          <w:noProof/>
          <w:lang w:eastAsia="de-DE"/>
        </w:rPr>
        <w:drawing>
          <wp:anchor distT="0" distB="0" distL="114300" distR="114300" simplePos="0" relativeHeight="251660288" behindDoc="0" locked="0" layoutInCell="1" allowOverlap="1" wp14:anchorId="6FFF23AE" wp14:editId="2A08ACF8">
            <wp:simplePos x="0" y="0"/>
            <wp:positionH relativeFrom="margin">
              <wp:align>left</wp:align>
            </wp:positionH>
            <wp:positionV relativeFrom="paragraph">
              <wp:posOffset>13517</wp:posOffset>
            </wp:positionV>
            <wp:extent cx="5760720" cy="3406140"/>
            <wp:effectExtent l="0" t="0" r="11430" b="3810"/>
            <wp:wrapNone/>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tabs>
          <w:tab w:val="left" w:pos="1276"/>
          <w:tab w:val="left" w:pos="1985"/>
        </w:tabs>
        <w:ind w:left="1985" w:hanging="1985"/>
      </w:pPr>
    </w:p>
    <w:p w:rsidR="00D4317C" w:rsidRDefault="00D4317C" w:rsidP="00D4317C">
      <w:pPr>
        <w:ind w:left="1985" w:hanging="1985"/>
      </w:pPr>
      <w:r>
        <w:tab/>
        <w:t xml:space="preserve">Anhand der Steigung des linearen </w:t>
      </w:r>
      <w:proofErr w:type="spellStart"/>
      <w:r>
        <w:t>Fits</w:t>
      </w:r>
      <w:proofErr w:type="spellEnd"/>
      <w:r>
        <w:t xml:space="preserve"> in der Auftragung zeigt sich, dass die Geschwindigkeit der Reaktion bei Zehnfacher Substratkonzentration etwa dreimal schneller abläuft, als bei der niedrigeren Konzentration. Das zeigt, dass auch hier wie bei allen chemischen Reaktionen Teilchenkollisionen nötig sind, um Reaktionen ablaufen zu lassen. Bei höherer Konzentration ist die Wahrscheinlichkeit von Kollisionen, die zur Reaktion führen, deutlich größer. </w:t>
      </w:r>
    </w:p>
    <w:p w:rsidR="00D4317C" w:rsidRDefault="00D4317C" w:rsidP="00D4317C">
      <w:pPr>
        <w:ind w:left="1985" w:hanging="1985"/>
      </w:pPr>
      <w:r>
        <w:tab/>
        <w:t>Anhand der Abhängigkeit der Enzymaktivität von der Substratkonzentration kann in sich anschließenden Einheiten dann auch die Michaelis-</w:t>
      </w:r>
      <w:proofErr w:type="spellStart"/>
      <w:r>
        <w:t>Menten</w:t>
      </w:r>
      <w:proofErr w:type="spellEnd"/>
      <w:r>
        <w:t>-Kinetik behandelt werden.</w:t>
      </w:r>
    </w:p>
    <w:p w:rsidR="00D4317C" w:rsidRDefault="00D4317C" w:rsidP="00D4317C">
      <w:pPr>
        <w:tabs>
          <w:tab w:val="left" w:pos="1985"/>
        </w:tabs>
        <w:ind w:left="1985" w:hanging="1985"/>
        <w:jc w:val="left"/>
      </w:pPr>
      <w:r>
        <w:t>Entsorgung:</w:t>
      </w:r>
      <w:r>
        <w:tab/>
        <w:t>Die Lösungen können über den Abfluss entsorgt werden.</w:t>
      </w:r>
    </w:p>
    <w:p w:rsidR="00D4317C" w:rsidRDefault="00D4317C" w:rsidP="00D4317C">
      <w:pPr>
        <w:ind w:left="1985" w:hanging="1985"/>
        <w:jc w:val="left"/>
      </w:pPr>
      <w:r>
        <w:t>Literatur:</w:t>
      </w:r>
      <w:r>
        <w:tab/>
      </w:r>
      <w:proofErr w:type="spellStart"/>
      <w:r>
        <w:t>Schwamborn</w:t>
      </w:r>
      <w:proofErr w:type="spellEnd"/>
      <w:r>
        <w:t>, M.; Schütte, O. (2014): Praktikumsskript spezielle organische Chemie für Lehramtskandidaten. Georg-August-Universität Göttingen.</w:t>
      </w:r>
    </w:p>
    <w:p w:rsidR="00D4317C" w:rsidRDefault="00D4317C" w:rsidP="00D4317C">
      <w:pPr>
        <w:ind w:left="1985" w:hanging="1985"/>
        <w:jc w:val="left"/>
      </w:pPr>
      <w:r>
        <w:tab/>
        <w:t xml:space="preserve">Brown, Theodore L.; </w:t>
      </w:r>
      <w:proofErr w:type="spellStart"/>
      <w:r>
        <w:t>LeMay</w:t>
      </w:r>
      <w:proofErr w:type="spellEnd"/>
      <w:r>
        <w:t xml:space="preserve">, Harold Eugene; </w:t>
      </w:r>
      <w:proofErr w:type="spellStart"/>
      <w:r>
        <w:t>Bursten</w:t>
      </w:r>
      <w:proofErr w:type="spellEnd"/>
      <w:r>
        <w:t xml:space="preserve">, Bruce Edward; </w:t>
      </w:r>
      <w:proofErr w:type="spellStart"/>
      <w:r>
        <w:t>Robl</w:t>
      </w:r>
      <w:proofErr w:type="spellEnd"/>
      <w:r>
        <w:t>, Christian (2011): Chemie. Studieren kompakt. 10., aktualisierte Aufl. München: Pearson</w:t>
      </w:r>
    </w:p>
    <w:p w:rsidR="00D4317C" w:rsidRDefault="00D4317C" w:rsidP="00D4317C">
      <w:pPr>
        <w:ind w:left="1985" w:hanging="1985"/>
        <w:jc w:val="left"/>
        <w:rPr>
          <w:rFonts w:asciiTheme="majorHAnsi" w:hAnsiTheme="majorHAnsi"/>
        </w:rPr>
      </w:pPr>
    </w:p>
    <w:p w:rsidR="00D4317C" w:rsidRDefault="00D4317C" w:rsidP="00D4317C">
      <w:pPr>
        <w:tabs>
          <w:tab w:val="left" w:pos="1701"/>
          <w:tab w:val="left" w:pos="1985"/>
        </w:tabs>
        <w:ind w:left="1980" w:hanging="1980"/>
      </w:pPr>
      <w:r>
        <w:rPr>
          <w:noProof/>
          <w:lang w:eastAsia="de-DE"/>
        </w:rPr>
        <w:lastRenderedPageBreak/>
        <mc:AlternateContent>
          <mc:Choice Requires="wps">
            <w:drawing>
              <wp:inline distT="0" distB="0" distL="0" distR="0" wp14:anchorId="29E06928" wp14:editId="212EECD0">
                <wp:extent cx="5873115" cy="1041148"/>
                <wp:effectExtent l="0" t="0" r="13335" b="26035"/>
                <wp:docPr id="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114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317C" w:rsidRPr="00F31EBF" w:rsidRDefault="00D4317C" w:rsidP="00D4317C">
                            <w:pPr>
                              <w:rPr>
                                <w:color w:val="auto"/>
                              </w:rPr>
                            </w:pPr>
                            <w:r w:rsidRPr="00F31EBF">
                              <w:rPr>
                                <w:b/>
                                <w:color w:val="auto"/>
                              </w:rPr>
                              <w:t>Unterrichtsanschlüsse</w:t>
                            </w:r>
                            <w:r>
                              <w:rPr>
                                <w:b/>
                                <w:color w:val="auto"/>
                              </w:rPr>
                              <w:t>:</w:t>
                            </w:r>
                            <w:r>
                              <w:rPr>
                                <w:color w:val="auto"/>
                              </w:rPr>
                              <w:t xml:space="preserve"> Alternativ kann die Gärung mit </w:t>
                            </w:r>
                            <w:proofErr w:type="spellStart"/>
                            <w:r>
                              <w:rPr>
                                <w:color w:val="auto"/>
                              </w:rPr>
                              <w:t>Brauhefe</w:t>
                            </w:r>
                            <w:proofErr w:type="spellEnd"/>
                            <w:r>
                              <w:rPr>
                                <w:color w:val="auto"/>
                              </w:rPr>
                              <w:t xml:space="preserve"> durchgeführt werden. Diese hat eine hohe Aktivität und könnte dadurch die Durchführung beschleunigen und bessere Messergebnisse liefern. Je nach Sorte ist hier auch vom Hersteller ein Temperaturoptimum angegeben. So kann dann auch in dem Zusammenhang die alkoholische Gärung thematisiert werden.</w:t>
                            </w:r>
                          </w:p>
                        </w:txbxContent>
                      </wps:txbx>
                      <wps:bodyPr rot="0" vert="horz" wrap="square" lIns="91440" tIns="45720" rIns="91440" bIns="45720" anchor="t" anchorCtr="0" upright="1">
                        <a:noAutofit/>
                      </wps:bodyPr>
                    </wps:wsp>
                  </a:graphicData>
                </a:graphic>
              </wp:inline>
            </w:drawing>
          </mc:Choice>
          <mc:Fallback>
            <w:pict>
              <v:shape w14:anchorId="29E06928" id="Text Box 222" o:spid="_x0000_s1029" type="#_x0000_t202" style="width:462.4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" fillcolor="white [3201]" strokecolor="#ed7d31 [3205]" strokeweight="1pt">
                <v:stroke dashstyle="dash"/>
                <v:shadow color="#868686"/>
                <v:textbox>
                  <w:txbxContent>
                    <w:p w:rsidR="00D4317C" w:rsidRPr="00F31EBF" w:rsidRDefault="00D4317C" w:rsidP="00D4317C">
                      <w:pPr>
                        <w:rPr>
                          <w:color w:val="auto"/>
                        </w:rPr>
                      </w:pPr>
                      <w:r w:rsidRPr="00F31EBF">
                        <w:rPr>
                          <w:b/>
                          <w:color w:val="auto"/>
                        </w:rPr>
                        <w:t>Unterrichtsanschlüsse</w:t>
                      </w:r>
                      <w:r>
                        <w:rPr>
                          <w:b/>
                          <w:color w:val="auto"/>
                        </w:rPr>
                        <w:t>:</w:t>
                      </w:r>
                      <w:r>
                        <w:rPr>
                          <w:color w:val="auto"/>
                        </w:rPr>
                        <w:t xml:space="preserve"> Alternativ kann die Gärung mit </w:t>
                      </w:r>
                      <w:proofErr w:type="spellStart"/>
                      <w:r>
                        <w:rPr>
                          <w:color w:val="auto"/>
                        </w:rPr>
                        <w:t>Brauhefe</w:t>
                      </w:r>
                      <w:proofErr w:type="spellEnd"/>
                      <w:r>
                        <w:rPr>
                          <w:color w:val="auto"/>
                        </w:rPr>
                        <w:t xml:space="preserve"> durchgeführt werden. Diese hat eine hohe Aktivität und könnte dadurch die Durchführung beschleunigen und bessere Messergebnisse liefern. Je nach Sorte ist hier auch vom Hersteller ein Temperaturoptimum angegeben. So kann dann auch in dem Zusammenhang die alkoholische Gärung thematisiert werden.</w:t>
                      </w:r>
                    </w:p>
                  </w:txbxContent>
                </v:textbox>
                <w10:anchorlock/>
              </v:shape>
            </w:pict>
          </mc:Fallback>
        </mc:AlternateContent>
      </w:r>
    </w:p>
    <w:p w:rsidR="00D4317C" w:rsidRPr="00BB3CA7" w:rsidRDefault="00D4317C" w:rsidP="00D4317C">
      <w:pPr>
        <w:spacing w:line="276" w:lineRule="auto"/>
        <w:jc w:val="left"/>
      </w:pPr>
    </w:p>
    <w:p w:rsidR="00ED41A2" w:rsidRPr="00D4317C" w:rsidRDefault="00ED41A2" w:rsidP="00D4317C"/>
    <w:sectPr w:rsidR="00ED41A2" w:rsidRPr="00D431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A"/>
    <w:rsid w:val="00074926"/>
    <w:rsid w:val="000D1C49"/>
    <w:rsid w:val="00192413"/>
    <w:rsid w:val="00656137"/>
    <w:rsid w:val="008978D3"/>
    <w:rsid w:val="00CE600D"/>
    <w:rsid w:val="00D4317C"/>
    <w:rsid w:val="00DE532A"/>
    <w:rsid w:val="00E27B78"/>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6BE5"/>
  <w15:chartTrackingRefBased/>
  <w15:docId w15:val="{1B8B4D82-E3BB-43E4-A416-EF5224F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E532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E53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E532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DE53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E532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E532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E532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E53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53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53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32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E532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E532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E532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E532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E532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E53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E53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53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E532A"/>
    <w:pPr>
      <w:spacing w:line="240" w:lineRule="auto"/>
      <w:jc w:val="center"/>
    </w:pPr>
    <w:rPr>
      <w:bCs/>
      <w:color w:val="auto"/>
      <w:sz w:val="18"/>
      <w:szCs w:val="18"/>
    </w:rPr>
  </w:style>
  <w:style w:type="table" w:styleId="Tabellenraster">
    <w:name w:val="Table Grid"/>
    <w:basedOn w:val="NormaleTabelle"/>
    <w:uiPriority w:val="59"/>
    <w:rsid w:val="00CE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27B78"/>
    <w:pPr>
      <w:spacing w:after="0" w:line="240" w:lineRule="auto"/>
      <w:jc w:val="both"/>
    </w:pPr>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rian\Dropbox\10.%20Semester\M.Che.4803%20SVP%20Chemie\SVP%20Chemie%202016\11-12%20Messung%20der%20Reaktionsgeschwindigkeit\Alkoholische%20G&#228;ru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Abhängigkeit der Hefeaktivität</a:t>
            </a:r>
            <a:r>
              <a:rPr lang="de-DE" baseline="0"/>
              <a:t> von der Substratkonzentration</a:t>
            </a:r>
            <a:endParaRPr lang="de-DE"/>
          </a:p>
        </c:rich>
      </c:tx>
      <c:overlay val="0"/>
      <c:spPr>
        <a:noFill/>
        <a:ln>
          <a:noFill/>
        </a:ln>
        <a:effectLst/>
      </c:spPr>
    </c:title>
    <c:autoTitleDeleted val="0"/>
    <c:plotArea>
      <c:layout/>
      <c:scatterChart>
        <c:scatterStyle val="lineMarker"/>
        <c:varyColors val="0"/>
        <c:ser>
          <c:idx val="0"/>
          <c:order val="0"/>
          <c:tx>
            <c:v>Substratkonzentration 1</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15323588023719256"/>
                  <c:y val="8.2908218687429175E-2"/>
                </c:manualLayout>
              </c:layout>
              <c:numFmt formatCode="General" sourceLinked="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rendlineLbl>
          </c:trendline>
          <c:xVal>
            <c:numRef>
              <c:f>'c1'!$B$3:$B$17</c:f>
              <c:numCache>
                <c:formatCode>General</c:formatCode>
                <c:ptCount val="15"/>
                <c:pt idx="0">
                  <c:v>0</c:v>
                </c:pt>
                <c:pt idx="1">
                  <c:v>300</c:v>
                </c:pt>
                <c:pt idx="2">
                  <c:v>690</c:v>
                </c:pt>
                <c:pt idx="3">
                  <c:v>780</c:v>
                </c:pt>
                <c:pt idx="4">
                  <c:v>870</c:v>
                </c:pt>
                <c:pt idx="5">
                  <c:v>1020</c:v>
                </c:pt>
                <c:pt idx="6">
                  <c:v>1170</c:v>
                </c:pt>
                <c:pt idx="7">
                  <c:v>1320</c:v>
                </c:pt>
                <c:pt idx="8">
                  <c:v>1530</c:v>
                </c:pt>
                <c:pt idx="9">
                  <c:v>1650</c:v>
                </c:pt>
                <c:pt idx="10">
                  <c:v>1800</c:v>
                </c:pt>
                <c:pt idx="11">
                  <c:v>1950</c:v>
                </c:pt>
                <c:pt idx="12">
                  <c:v>2100</c:v>
                </c:pt>
                <c:pt idx="13">
                  <c:v>2250</c:v>
                </c:pt>
                <c:pt idx="14">
                  <c:v>2400</c:v>
                </c:pt>
              </c:numCache>
            </c:numRef>
          </c:xVal>
          <c:yVal>
            <c:numRef>
              <c:f>'c1'!$D$3:$D$17</c:f>
              <c:numCache>
                <c:formatCode>General</c:formatCode>
                <c:ptCount val="15"/>
                <c:pt idx="0">
                  <c:v>0</c:v>
                </c:pt>
                <c:pt idx="1">
                  <c:v>0</c:v>
                </c:pt>
                <c:pt idx="2">
                  <c:v>5</c:v>
                </c:pt>
                <c:pt idx="3">
                  <c:v>7</c:v>
                </c:pt>
                <c:pt idx="4">
                  <c:v>9</c:v>
                </c:pt>
                <c:pt idx="5">
                  <c:v>12.5</c:v>
                </c:pt>
                <c:pt idx="6">
                  <c:v>16</c:v>
                </c:pt>
                <c:pt idx="7">
                  <c:v>20</c:v>
                </c:pt>
                <c:pt idx="8">
                  <c:v>25</c:v>
                </c:pt>
                <c:pt idx="9">
                  <c:v>28</c:v>
                </c:pt>
                <c:pt idx="10">
                  <c:v>32</c:v>
                </c:pt>
                <c:pt idx="11">
                  <c:v>35</c:v>
                </c:pt>
                <c:pt idx="12">
                  <c:v>39</c:v>
                </c:pt>
                <c:pt idx="13">
                  <c:v>43</c:v>
                </c:pt>
                <c:pt idx="14">
                  <c:v>47</c:v>
                </c:pt>
              </c:numCache>
            </c:numRef>
          </c:yVal>
          <c:smooth val="0"/>
          <c:extLst>
            <c:ext xmlns:c16="http://schemas.microsoft.com/office/drawing/2014/chart" uri="{C3380CC4-5D6E-409C-BE32-E72D297353CC}">
              <c16:uniqueId val="{00000000-6D77-46E8-AA11-EBAF61B26915}"/>
            </c:ext>
          </c:extLst>
        </c:ser>
        <c:ser>
          <c:idx val="1"/>
          <c:order val="1"/>
          <c:tx>
            <c:v>Substratkonzentration 2</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1"/>
            <c:trendlineLbl>
              <c:layout>
                <c:manualLayout>
                  <c:x val="-9.9378202724659422E-3"/>
                  <c:y val="0.12075046827200291"/>
                </c:manualLayout>
              </c:layout>
              <c:numFmt formatCode="General" sourceLinked="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rendlineLbl>
          </c:trendline>
          <c:xVal>
            <c:numRef>
              <c:f>'c2'!$B$3:$B$13</c:f>
              <c:numCache>
                <c:formatCode>General</c:formatCode>
                <c:ptCount val="11"/>
                <c:pt idx="0">
                  <c:v>0</c:v>
                </c:pt>
                <c:pt idx="1">
                  <c:v>300</c:v>
                </c:pt>
                <c:pt idx="2">
                  <c:v>600</c:v>
                </c:pt>
                <c:pt idx="3">
                  <c:v>1320</c:v>
                </c:pt>
                <c:pt idx="4">
                  <c:v>1500</c:v>
                </c:pt>
                <c:pt idx="5">
                  <c:v>1620</c:v>
                </c:pt>
                <c:pt idx="6">
                  <c:v>1740</c:v>
                </c:pt>
                <c:pt idx="7">
                  <c:v>1950</c:v>
                </c:pt>
                <c:pt idx="8">
                  <c:v>2100</c:v>
                </c:pt>
                <c:pt idx="9">
                  <c:v>2250</c:v>
                </c:pt>
                <c:pt idx="10">
                  <c:v>2400</c:v>
                </c:pt>
              </c:numCache>
            </c:numRef>
          </c:xVal>
          <c:yVal>
            <c:numRef>
              <c:f>'c2'!$D$3:$D$13</c:f>
              <c:numCache>
                <c:formatCode>General</c:formatCode>
                <c:ptCount val="11"/>
                <c:pt idx="0">
                  <c:v>0</c:v>
                </c:pt>
                <c:pt idx="1">
                  <c:v>0</c:v>
                </c:pt>
                <c:pt idx="2">
                  <c:v>0</c:v>
                </c:pt>
                <c:pt idx="3">
                  <c:v>5</c:v>
                </c:pt>
                <c:pt idx="4">
                  <c:v>7</c:v>
                </c:pt>
                <c:pt idx="5">
                  <c:v>8.5</c:v>
                </c:pt>
                <c:pt idx="6">
                  <c:v>10</c:v>
                </c:pt>
                <c:pt idx="7">
                  <c:v>12</c:v>
                </c:pt>
                <c:pt idx="8">
                  <c:v>14</c:v>
                </c:pt>
                <c:pt idx="9">
                  <c:v>14.999999999999998</c:v>
                </c:pt>
                <c:pt idx="10">
                  <c:v>16</c:v>
                </c:pt>
              </c:numCache>
            </c:numRef>
          </c:yVal>
          <c:smooth val="0"/>
          <c:extLst>
            <c:ext xmlns:c16="http://schemas.microsoft.com/office/drawing/2014/chart" uri="{C3380CC4-5D6E-409C-BE32-E72D297353CC}">
              <c16:uniqueId val="{00000001-6D77-46E8-AA11-EBAF61B26915}"/>
            </c:ext>
          </c:extLst>
        </c:ser>
        <c:dLbls>
          <c:showLegendKey val="0"/>
          <c:showVal val="0"/>
          <c:showCatName val="0"/>
          <c:showSerName val="0"/>
          <c:showPercent val="0"/>
          <c:showBubbleSize val="0"/>
        </c:dLbls>
        <c:axId val="201096576"/>
        <c:axId val="201115136"/>
      </c:scatterChart>
      <c:valAx>
        <c:axId val="201096576"/>
        <c:scaling>
          <c:orientation val="minMax"/>
          <c:max val="25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Zeit</a:t>
                </a:r>
                <a:r>
                  <a:rPr lang="de-DE" baseline="0"/>
                  <a:t> t [s]</a:t>
                </a:r>
                <a:endParaRPr lang="de-DE"/>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1115136"/>
        <c:crosses val="autoZero"/>
        <c:crossBetween val="midCat"/>
      </c:valAx>
      <c:valAx>
        <c:axId val="201115136"/>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sz="1000" b="0" i="0" u="none" strike="noStrike" baseline="0">
                    <a:effectLst/>
                  </a:rPr>
                  <a:t>Volumen V [mL]</a:t>
                </a:r>
                <a:endParaRPr lang="de-DE"/>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1096576"/>
        <c:crosses val="autoZero"/>
        <c:crossBetween val="midCat"/>
      </c:valAx>
      <c:spPr>
        <a:noFill/>
        <a:ln>
          <a:noFill/>
        </a:ln>
        <a:effectLst/>
      </c:spPr>
    </c:plotArea>
    <c:legend>
      <c:legendPos val="r"/>
      <c:layout>
        <c:manualLayout>
          <c:xMode val="edge"/>
          <c:yMode val="edge"/>
          <c:x val="0.11998743212653971"/>
          <c:y val="0.17520595160504265"/>
          <c:w val="0.3931345387382133"/>
          <c:h val="0.31580058365187574"/>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2016-08-10T13:26:00Z</dcterms:created>
  <dcterms:modified xsi:type="dcterms:W3CDTF">2016-08-10T13:26:00Z</dcterms:modified>
</cp:coreProperties>
</file>