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88" w:rsidRPr="00CC307A" w:rsidRDefault="00B55888" w:rsidP="00B55888">
      <w:pPr>
        <w:pStyle w:val="berschrift2"/>
        <w:rPr>
          <w:color w:val="auto"/>
        </w:rPr>
      </w:pPr>
      <w:r>
        <w:rPr>
          <w:color w:val="auto"/>
        </w:rPr>
        <w:t>Fettkennzahl - Säurezahl von Rapsöl</w:t>
      </w:r>
    </w:p>
    <w:p w:rsidR="00B55888" w:rsidRDefault="00B55888" w:rsidP="00B55888">
      <w:pPr>
        <w:pStyle w:val="berschrift2"/>
        <w:numPr>
          <w:ilvl w:val="0"/>
          <w:numId w:val="0"/>
        </w:numPr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7pt;margin-top:6.65pt;width:462.45pt;height:86.45pt;z-index:251658240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B55888" w:rsidRPr="00F31EBF" w:rsidRDefault="00B55888" w:rsidP="00B55888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In diesem Versuch wird die Säurezahl von Rapsöl mittels einer Säure-Base-Titration ermittelt. Als Vorwissen ist hierfür wichtig, dass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sowohl Säure-Base-Titration als auch den Umgang mit Büretten beherrschen. Des Weiteren muss im Vorfeld geklärt werden, wozu die Sä</w:t>
                  </w:r>
                  <w:r>
                    <w:rPr>
                      <w:color w:val="auto"/>
                    </w:rPr>
                    <w:t>u</w:t>
                  </w:r>
                  <w:r>
                    <w:rPr>
                      <w:color w:val="auto"/>
                    </w:rPr>
                    <w:t>rezahl bestimmt wird und was diese aussagt.</w:t>
                  </w:r>
                </w:p>
              </w:txbxContent>
            </v:textbox>
            <w10:wrap type="square"/>
          </v:shape>
        </w:pict>
      </w:r>
    </w:p>
    <w:tbl>
      <w:tblPr>
        <w:tblStyle w:val="HelleListe-Akzent1"/>
        <w:tblW w:w="9322" w:type="dxa"/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B55888" w:rsidRPr="009C5E28" w:rsidTr="001A1E6D">
        <w:trPr>
          <w:cnfStyle w:val="100000000000"/>
        </w:trPr>
        <w:tc>
          <w:tcPr>
            <w:cnfStyle w:val="001000000000"/>
            <w:tcW w:w="9322" w:type="dxa"/>
            <w:gridSpan w:val="9"/>
          </w:tcPr>
          <w:p w:rsidR="00B55888" w:rsidRPr="00F31EBF" w:rsidRDefault="00B55888" w:rsidP="001A1E6D">
            <w:pPr>
              <w:jc w:val="center"/>
              <w:rPr>
                <w:b w:val="0"/>
                <w:bCs w:val="0"/>
                <w:color w:val="FFFFFF" w:themeColor="background1"/>
              </w:rPr>
            </w:pPr>
            <w:r w:rsidRPr="00F31EBF">
              <w:rPr>
                <w:b w:val="0"/>
                <w:bCs w:val="0"/>
                <w:color w:val="FFFFFF" w:themeColor="background1"/>
              </w:rPr>
              <w:t>Gefahrenstoffe</w:t>
            </w:r>
          </w:p>
        </w:tc>
      </w:tr>
      <w:tr w:rsidR="00B55888" w:rsidRPr="009C5E28" w:rsidTr="001A1E6D">
        <w:trPr>
          <w:cnfStyle w:val="000000100000"/>
          <w:trHeight w:val="437"/>
        </w:trPr>
        <w:tc>
          <w:tcPr>
            <w:cnfStyle w:val="001000000000"/>
            <w:tcW w:w="3027" w:type="dxa"/>
            <w:gridSpan w:val="3"/>
          </w:tcPr>
          <w:p w:rsidR="00B55888" w:rsidRPr="000D2281" w:rsidRDefault="00B55888" w:rsidP="001A1E6D">
            <w:pPr>
              <w:spacing w:line="276" w:lineRule="auto"/>
              <w:jc w:val="center"/>
              <w:rPr>
                <w:b w:val="0"/>
                <w:bCs w:val="0"/>
              </w:rPr>
            </w:pPr>
            <w:proofErr w:type="spellStart"/>
            <w:r w:rsidRPr="000D2281">
              <w:rPr>
                <w:b w:val="0"/>
                <w:sz w:val="20"/>
              </w:rPr>
              <w:t>Phenolphtalein</w:t>
            </w:r>
            <w:proofErr w:type="spellEnd"/>
            <w:r w:rsidRPr="000D2281">
              <w:rPr>
                <w:b w:val="0"/>
                <w:sz w:val="20"/>
              </w:rPr>
              <w:noBreakHyphen/>
              <w:t>Lösung</w:t>
            </w:r>
          </w:p>
        </w:tc>
        <w:tc>
          <w:tcPr>
            <w:tcW w:w="3177" w:type="dxa"/>
            <w:gridSpan w:val="3"/>
          </w:tcPr>
          <w:p w:rsidR="00B55888" w:rsidRPr="009C5E28" w:rsidRDefault="00B55888" w:rsidP="001A1E6D">
            <w:pPr>
              <w:jc w:val="center"/>
              <w:cnfStyle w:val="000000100000"/>
            </w:pPr>
            <w:r w:rsidRPr="009C5E28">
              <w:rPr>
                <w:sz w:val="20"/>
              </w:rPr>
              <w:t xml:space="preserve">H: </w:t>
            </w:r>
            <w:r w:rsidRPr="00581FCB">
              <w:rPr>
                <w:sz w:val="20"/>
              </w:rPr>
              <w:t>226, 319</w:t>
            </w:r>
          </w:p>
        </w:tc>
        <w:tc>
          <w:tcPr>
            <w:tcW w:w="3118" w:type="dxa"/>
            <w:gridSpan w:val="3"/>
          </w:tcPr>
          <w:p w:rsidR="00B55888" w:rsidRPr="009C5E28" w:rsidRDefault="00B55888" w:rsidP="001A1E6D">
            <w:pPr>
              <w:jc w:val="center"/>
              <w:cnfStyle w:val="000000100000"/>
            </w:pPr>
            <w:r w:rsidRPr="009C5E28">
              <w:rPr>
                <w:sz w:val="20"/>
              </w:rPr>
              <w:t xml:space="preserve">P: </w:t>
            </w:r>
            <w:r w:rsidRPr="00581FCB">
              <w:rPr>
                <w:sz w:val="20"/>
              </w:rPr>
              <w:t>210, 280, 305+ 351+ 338, 337+ 313, 403+ 235</w:t>
            </w:r>
          </w:p>
        </w:tc>
      </w:tr>
      <w:tr w:rsidR="00B55888" w:rsidRPr="009C5E28" w:rsidTr="001A1E6D">
        <w:trPr>
          <w:trHeight w:val="434"/>
        </w:trPr>
        <w:tc>
          <w:tcPr>
            <w:cnfStyle w:val="001000000000"/>
            <w:tcW w:w="3027" w:type="dxa"/>
            <w:gridSpan w:val="3"/>
          </w:tcPr>
          <w:p w:rsidR="00B55888" w:rsidRPr="000D2281" w:rsidRDefault="00B55888" w:rsidP="001A1E6D">
            <w:pPr>
              <w:spacing w:line="276" w:lineRule="auto"/>
              <w:jc w:val="center"/>
              <w:rPr>
                <w:b w:val="0"/>
                <w:bCs w:val="0"/>
                <w:sz w:val="20"/>
              </w:rPr>
            </w:pPr>
            <w:r w:rsidRPr="000D2281">
              <w:rPr>
                <w:b w:val="0"/>
                <w:color w:val="auto"/>
                <w:sz w:val="20"/>
                <w:szCs w:val="20"/>
              </w:rPr>
              <w:t>Rapsöl</w:t>
            </w:r>
          </w:p>
        </w:tc>
        <w:tc>
          <w:tcPr>
            <w:tcW w:w="3177" w:type="dxa"/>
            <w:gridSpan w:val="3"/>
          </w:tcPr>
          <w:p w:rsidR="00B55888" w:rsidRPr="009C5E28" w:rsidRDefault="00B55888" w:rsidP="001A1E6D">
            <w:pPr>
              <w:pStyle w:val="Beschriftung"/>
              <w:jc w:val="center"/>
              <w:cnfStyle w:val="000000000000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</w:tcPr>
          <w:p w:rsidR="00B55888" w:rsidRPr="009C5E28" w:rsidRDefault="00B55888" w:rsidP="001A1E6D">
            <w:pPr>
              <w:pStyle w:val="Beschriftung"/>
              <w:jc w:val="center"/>
              <w:cnfStyle w:val="000000000000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B55888" w:rsidRPr="009C5E28" w:rsidTr="001A1E6D">
        <w:trPr>
          <w:cnfStyle w:val="000000100000"/>
          <w:trHeight w:val="434"/>
        </w:trPr>
        <w:tc>
          <w:tcPr>
            <w:cnfStyle w:val="001000000000"/>
            <w:tcW w:w="3027" w:type="dxa"/>
            <w:gridSpan w:val="3"/>
          </w:tcPr>
          <w:p w:rsidR="00B55888" w:rsidRPr="000D2281" w:rsidRDefault="00B55888" w:rsidP="001A1E6D">
            <w:pPr>
              <w:spacing w:line="276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0D2281">
              <w:rPr>
                <w:b w:val="0"/>
                <w:color w:val="auto"/>
                <w:sz w:val="20"/>
                <w:szCs w:val="20"/>
              </w:rPr>
              <w:t>Ethanol</w:t>
            </w:r>
          </w:p>
        </w:tc>
        <w:tc>
          <w:tcPr>
            <w:tcW w:w="3177" w:type="dxa"/>
            <w:gridSpan w:val="3"/>
          </w:tcPr>
          <w:p w:rsidR="00B55888" w:rsidRPr="009C5E28" w:rsidRDefault="00B55888" w:rsidP="001A1E6D">
            <w:pPr>
              <w:pStyle w:val="Beschriftung"/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H: 225</w:t>
            </w:r>
          </w:p>
        </w:tc>
        <w:tc>
          <w:tcPr>
            <w:tcW w:w="3118" w:type="dxa"/>
            <w:gridSpan w:val="3"/>
          </w:tcPr>
          <w:p w:rsidR="00B55888" w:rsidRPr="009C5E28" w:rsidRDefault="00B55888" w:rsidP="001A1E6D">
            <w:pPr>
              <w:pStyle w:val="Beschriftung"/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P: 210</w:t>
            </w:r>
          </w:p>
        </w:tc>
      </w:tr>
      <w:tr w:rsidR="00B55888" w:rsidRPr="009C5E28" w:rsidTr="001A1E6D">
        <w:trPr>
          <w:trHeight w:val="434"/>
        </w:trPr>
        <w:tc>
          <w:tcPr>
            <w:cnfStyle w:val="001000000000"/>
            <w:tcW w:w="3027" w:type="dxa"/>
            <w:gridSpan w:val="3"/>
          </w:tcPr>
          <w:p w:rsidR="00B55888" w:rsidRPr="000D2281" w:rsidRDefault="00B55888" w:rsidP="001A1E6D">
            <w:pPr>
              <w:spacing w:line="276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0D2281">
              <w:rPr>
                <w:b w:val="0"/>
                <w:color w:val="auto"/>
                <w:sz w:val="20"/>
                <w:szCs w:val="20"/>
              </w:rPr>
              <w:t>n-Heptan</w:t>
            </w:r>
          </w:p>
        </w:tc>
        <w:tc>
          <w:tcPr>
            <w:tcW w:w="3177" w:type="dxa"/>
            <w:gridSpan w:val="3"/>
          </w:tcPr>
          <w:p w:rsidR="00B55888" w:rsidRPr="009C5E28" w:rsidRDefault="00B55888" w:rsidP="001A1E6D">
            <w:pPr>
              <w:pStyle w:val="Beschriftung"/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H: 225, 304, 315, 336, 410</w:t>
            </w:r>
          </w:p>
        </w:tc>
        <w:tc>
          <w:tcPr>
            <w:tcW w:w="3118" w:type="dxa"/>
            <w:gridSpan w:val="3"/>
          </w:tcPr>
          <w:p w:rsidR="00B55888" w:rsidRPr="009C5E28" w:rsidRDefault="00B55888" w:rsidP="001A1E6D">
            <w:pPr>
              <w:pStyle w:val="Beschriftung"/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P: 210, 273, 301+ 310, 331, 302+ 352, 403+ 235</w:t>
            </w:r>
          </w:p>
        </w:tc>
      </w:tr>
      <w:tr w:rsidR="00B55888" w:rsidRPr="009C5E28" w:rsidTr="001A1E6D">
        <w:trPr>
          <w:cnfStyle w:val="000000100000"/>
          <w:trHeight w:val="434"/>
        </w:trPr>
        <w:tc>
          <w:tcPr>
            <w:cnfStyle w:val="001000000000"/>
            <w:tcW w:w="3027" w:type="dxa"/>
            <w:gridSpan w:val="3"/>
          </w:tcPr>
          <w:p w:rsidR="00B55888" w:rsidRPr="000D2281" w:rsidRDefault="00B55888" w:rsidP="001A1E6D">
            <w:pPr>
              <w:spacing w:line="276" w:lineRule="auto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0D2281">
              <w:rPr>
                <w:b w:val="0"/>
                <w:color w:val="auto"/>
                <w:sz w:val="20"/>
                <w:szCs w:val="20"/>
              </w:rPr>
              <w:t>Kaliumhydroxid</w:t>
            </w:r>
          </w:p>
        </w:tc>
        <w:tc>
          <w:tcPr>
            <w:tcW w:w="3177" w:type="dxa"/>
            <w:gridSpan w:val="3"/>
          </w:tcPr>
          <w:p w:rsidR="00B55888" w:rsidRPr="009C5E28" w:rsidRDefault="00B55888" w:rsidP="001A1E6D">
            <w:pPr>
              <w:pStyle w:val="Beschriftung"/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3118" w:type="dxa"/>
            <w:gridSpan w:val="3"/>
          </w:tcPr>
          <w:p w:rsidR="00B55888" w:rsidRPr="009C5E28" w:rsidRDefault="00B55888" w:rsidP="001A1E6D">
            <w:pPr>
              <w:pStyle w:val="Beschriftung"/>
              <w:jc w:val="center"/>
              <w:cnfStyle w:val="000000100000"/>
              <w:rPr>
                <w:sz w:val="20"/>
              </w:rPr>
            </w:pPr>
          </w:p>
        </w:tc>
      </w:tr>
      <w:tr w:rsidR="00B55888" w:rsidRPr="009C5E28" w:rsidTr="001A1E6D">
        <w:tc>
          <w:tcPr>
            <w:cnfStyle w:val="001000000000"/>
            <w:tcW w:w="1009" w:type="dxa"/>
          </w:tcPr>
          <w:p w:rsidR="00B55888" w:rsidRPr="009C5E28" w:rsidRDefault="00B55888" w:rsidP="001A1E6D">
            <w:pPr>
              <w:jc w:val="center"/>
              <w:rPr>
                <w:b w:val="0"/>
                <w:bCs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B55888" w:rsidRPr="009C5E28" w:rsidRDefault="00B55888" w:rsidP="001A1E6D">
            <w:pPr>
              <w:jc w:val="center"/>
              <w:cnfStyle w:val="000000000000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926" cy="504000"/>
                  <wp:effectExtent l="19050" t="0" r="0" b="0"/>
                  <wp:docPr id="10" name="Bild 2" descr="C:\Users\Kristina\Documents\SVP CHEMIE\Piktogramme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ristina\Documents\SVP CHEMIE\Piktogramme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926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B55888" w:rsidRPr="009C5E28" w:rsidRDefault="00B55888" w:rsidP="001A1E6D">
            <w:pPr>
              <w:jc w:val="center"/>
              <w:cnfStyle w:val="000000000000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926" cy="504000"/>
                  <wp:effectExtent l="19050" t="0" r="0" b="0"/>
                  <wp:docPr id="16" name="Bild 3" descr="C:\Users\Kristina\Documents\SVP CHEMIE\Piktogramm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ristina\Documents\SVP CHEMIE\Piktogramm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926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B55888" w:rsidRPr="009C5E28" w:rsidRDefault="00B55888" w:rsidP="001A1E6D">
            <w:pPr>
              <w:jc w:val="center"/>
              <w:cnfStyle w:val="000000000000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1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</w:tcPr>
          <w:p w:rsidR="00B55888" w:rsidRPr="009C5E28" w:rsidRDefault="00B55888" w:rsidP="001A1E6D">
            <w:pPr>
              <w:jc w:val="center"/>
              <w:cnfStyle w:val="000000000000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3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B55888" w:rsidRPr="009C5E28" w:rsidRDefault="00B55888" w:rsidP="001A1E6D">
            <w:pPr>
              <w:jc w:val="center"/>
              <w:cnfStyle w:val="000000000000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926" cy="504000"/>
                  <wp:effectExtent l="19050" t="0" r="0" b="0"/>
                  <wp:docPr id="34" name="Bild 4" descr="C:\Users\Kristina\Documents\SVP CHEMIE\Piktogramm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ristina\Documents\SVP CHEMIE\Piktogramm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926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</w:tcPr>
          <w:p w:rsidR="00B55888" w:rsidRPr="009C5E28" w:rsidRDefault="00B55888" w:rsidP="001A1E6D">
            <w:pPr>
              <w:jc w:val="center"/>
              <w:cnfStyle w:val="000000000000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B55888" w:rsidRPr="009C5E28" w:rsidRDefault="00B55888" w:rsidP="001A1E6D">
            <w:pPr>
              <w:jc w:val="center"/>
              <w:cnfStyle w:val="000000000000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36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B55888" w:rsidRPr="009C5E28" w:rsidRDefault="00B55888" w:rsidP="001A1E6D">
            <w:pPr>
              <w:jc w:val="center"/>
              <w:cnfStyle w:val="000000000000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926" cy="504000"/>
                  <wp:effectExtent l="19050" t="0" r="0" b="0"/>
                  <wp:docPr id="37" name="Bild 6" descr="C:\Users\Kristina\Documents\SVP CHEMIE\Piktogramme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ristina\Documents\SVP CHEMIE\Piktogramme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926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5888" w:rsidRDefault="00B55888" w:rsidP="00B55888">
      <w:pPr>
        <w:tabs>
          <w:tab w:val="left" w:pos="1701"/>
          <w:tab w:val="left" w:pos="1985"/>
        </w:tabs>
        <w:ind w:left="1980" w:hanging="1980"/>
      </w:pPr>
    </w:p>
    <w:p w:rsidR="00B55888" w:rsidRDefault="00B55888" w:rsidP="00B55888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Bürette, Trichter, 2 Bechergläser, </w:t>
      </w:r>
      <w:proofErr w:type="spellStart"/>
      <w:r>
        <w:t>Erlenmeyerkolben</w:t>
      </w:r>
      <w:proofErr w:type="spellEnd"/>
      <w:r>
        <w:t xml:space="preserve">, </w:t>
      </w:r>
      <w:proofErr w:type="spellStart"/>
      <w:r>
        <w:t>Magnetrührer</w:t>
      </w:r>
      <w:proofErr w:type="spellEnd"/>
      <w:r>
        <w:t xml:space="preserve"> mit Rührschwein</w:t>
      </w:r>
    </w:p>
    <w:p w:rsidR="00B55888" w:rsidRPr="00ED07C2" w:rsidRDefault="00B55888" w:rsidP="00B55888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Rapsöl, </w:t>
      </w:r>
      <w:proofErr w:type="spellStart"/>
      <w:r>
        <w:t>Phenolphthalein</w:t>
      </w:r>
      <w:proofErr w:type="spellEnd"/>
      <w:r>
        <w:noBreakHyphen/>
        <w:t>Lösung, Ethanol-Heptan-Gemisch (1:1), Kaliu</w:t>
      </w:r>
      <w:r>
        <w:t>m</w:t>
      </w:r>
      <w:r>
        <w:t>hydroxid-Lösung (0,1 M)</w:t>
      </w:r>
    </w:p>
    <w:p w:rsidR="00B55888" w:rsidRDefault="00B55888" w:rsidP="00B55888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10g Rapsöl werden zu 50 </w:t>
      </w:r>
      <w:proofErr w:type="spellStart"/>
      <w:r>
        <w:t>mL</w:t>
      </w:r>
      <w:proofErr w:type="spellEnd"/>
      <w:r>
        <w:t xml:space="preserve"> eines Ethanol-Heptan-Gemisches hinzugeg</w:t>
      </w:r>
      <w:r>
        <w:t>e</w:t>
      </w:r>
      <w:r>
        <w:t>ben und unter leichtem Rühren erhitzt, bis ein homogenes Gemisch en</w:t>
      </w:r>
      <w:r>
        <w:t>t</w:t>
      </w:r>
      <w:r>
        <w:t xml:space="preserve">standen </w:t>
      </w:r>
      <w:proofErr w:type="spellStart"/>
      <w:r>
        <w:t>ist.Anschließend</w:t>
      </w:r>
      <w:proofErr w:type="spellEnd"/>
      <w:r>
        <w:t xml:space="preserve"> werden 6-8 Tropfen Phenolphthalein hinzugefügt und es wird bis zum Umschlagspunkt, der durch eine Farbänderung ang</w:t>
      </w:r>
      <w:r>
        <w:t>e</w:t>
      </w:r>
      <w:r>
        <w:t xml:space="preserve">zeigt wird, mit der 0,1 M Kaliumhydroxid-Lösung titriert. </w:t>
      </w:r>
    </w:p>
    <w:p w:rsidR="00B55888" w:rsidRDefault="00B55888" w:rsidP="00B55888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 xml:space="preserve">Nach einer Zugabe von 2 </w:t>
      </w:r>
      <w:proofErr w:type="spellStart"/>
      <w:r>
        <w:t>mL</w:t>
      </w:r>
      <w:proofErr w:type="spellEnd"/>
      <w:r>
        <w:t xml:space="preserve"> KOH-Lösung ist ein Farbumschlag von farblos zu rosa zu beobachten (siehe Abbildung 2).</w:t>
      </w:r>
    </w:p>
    <w:p w:rsidR="00B55888" w:rsidRDefault="00B55888" w:rsidP="00B55888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1268095" cy="1837690"/>
            <wp:effectExtent l="19050" t="0" r="8255" b="0"/>
            <wp:docPr id="38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8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</w:t>
      </w:r>
      <w:r>
        <w:rPr>
          <w:noProof/>
          <w:lang w:eastAsia="de-DE"/>
        </w:rPr>
        <w:drawing>
          <wp:inline distT="0" distB="0" distL="0" distR="0">
            <wp:extent cx="1294130" cy="1811655"/>
            <wp:effectExtent l="19050" t="0" r="1270" b="0"/>
            <wp:docPr id="39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81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888" w:rsidRDefault="00B55888" w:rsidP="00B55888">
      <w:pPr>
        <w:pStyle w:val="Beschriftung"/>
        <w:jc w:val="center"/>
      </w:pPr>
      <w:r>
        <w:t xml:space="preserve">Abb. 2 - </w:t>
      </w:r>
      <w:r>
        <w:rPr>
          <w:noProof/>
        </w:rPr>
        <w:t>A: Das Gemisch mit Phenolphthalein vor der KOH-Zugabe. B: Das Gemisch mit Pheolphthalein nach KOH-Zugabe und Erreichen des Umschlagspunktes.</w:t>
      </w:r>
    </w:p>
    <w:p w:rsidR="00B55888" w:rsidRPr="00B23BE9" w:rsidRDefault="00B55888" w:rsidP="00B55888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  <w:t xml:space="preserve">Der Farbumschlag von farblos zu rosa zeigt eine alkalische Lösung an. Das verbrauchte Volumen kann in folgende Formel eingesetzt werden. </w:t>
      </w:r>
      <w:r>
        <w:rPr>
          <w:rStyle w:val="tgc"/>
        </w:rPr>
        <w:t xml:space="preserve">Die </w:t>
      </w:r>
      <w:r w:rsidRPr="0091411F">
        <w:rPr>
          <w:rStyle w:val="tgc"/>
          <w:bCs/>
        </w:rPr>
        <w:t>Sä</w:t>
      </w:r>
      <w:r w:rsidRPr="0091411F">
        <w:rPr>
          <w:rStyle w:val="tgc"/>
          <w:bCs/>
        </w:rPr>
        <w:t>u</w:t>
      </w:r>
      <w:r w:rsidRPr="0091411F">
        <w:rPr>
          <w:rStyle w:val="tgc"/>
          <w:bCs/>
        </w:rPr>
        <w:t>rezahl</w:t>
      </w:r>
      <w:r>
        <w:rPr>
          <w:rStyle w:val="tgc"/>
        </w:rPr>
        <w:t xml:space="preserve"> (SZ) ist eine chemische Größe zur Charakterisierung von freien Säuregruppen in Fetten oder Ölen. Sie bezeichnet die Masse an Kaliumhydr</w:t>
      </w:r>
      <w:r>
        <w:rPr>
          <w:rStyle w:val="tgc"/>
        </w:rPr>
        <w:t>o</w:t>
      </w:r>
      <w:r>
        <w:rPr>
          <w:rStyle w:val="tgc"/>
        </w:rPr>
        <w:t>xid in mg, die notwendig ist, um die in 1 g Fett enthaltenen freien Fettsä</w:t>
      </w:r>
      <w:r>
        <w:rPr>
          <w:rStyle w:val="tgc"/>
        </w:rPr>
        <w:t>u</w:t>
      </w:r>
      <w:r>
        <w:rPr>
          <w:rStyle w:val="tgc"/>
        </w:rPr>
        <w:t>ren zu neutralisieren</w:t>
      </w:r>
      <w:r>
        <w:t xml:space="preserve">. </w:t>
      </w:r>
    </w:p>
    <w:p w:rsidR="00B55888" w:rsidRDefault="00B55888" w:rsidP="00B55888">
      <w:pPr>
        <w:tabs>
          <w:tab w:val="left" w:pos="1701"/>
          <w:tab w:val="left" w:pos="1985"/>
        </w:tabs>
        <w:ind w:left="1985" w:hanging="1985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SZ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mg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KOH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g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 xml:space="preserve">56,1∙Verbrauch KOH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mL</m:t>
                  </m:r>
                </m:e>
              </m:d>
              <m:r>
                <w:rPr>
                  <w:rFonts w:ascii="Cambria Math" w:eastAsiaTheme="minorEastAsia" w:hAnsi="Cambria Math"/>
                </w:rPr>
                <m:t>∙Konzentration KOH (M)</m:t>
              </m:r>
            </m:num>
            <m:den>
              <m:r>
                <w:rPr>
                  <w:rFonts w:ascii="Cambria Math" w:eastAsiaTheme="minorEastAsia" w:hAnsi="Cambria Math"/>
                </w:rPr>
                <m:t>Fetteinwaage (g)</m:t>
              </m:r>
            </m:den>
          </m:f>
        </m:oMath>
      </m:oMathPara>
    </w:p>
    <w:p w:rsidR="00B55888" w:rsidRDefault="00B55888" w:rsidP="00B55888">
      <w:pPr>
        <w:tabs>
          <w:tab w:val="left" w:pos="1701"/>
          <w:tab w:val="left" w:pos="1985"/>
        </w:tabs>
        <w:ind w:left="1985" w:hanging="1985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Werden nun die Werte eingesetzt, ergibt sich folgendes:</w:t>
      </w:r>
    </w:p>
    <w:p w:rsidR="00B55888" w:rsidRDefault="00B55888" w:rsidP="00B55888">
      <w:pPr>
        <w:tabs>
          <w:tab w:val="left" w:pos="1701"/>
          <w:tab w:val="left" w:pos="1985"/>
        </w:tabs>
        <w:ind w:left="1985" w:hanging="1985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SZ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mg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KOH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g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56,1∙1,8 mL∙0,1 M</m:t>
              </m:r>
            </m:num>
            <m:den>
              <m:r>
                <w:rPr>
                  <w:rFonts w:ascii="Cambria Math" w:eastAsiaTheme="minorEastAsia" w:hAnsi="Cambria Math"/>
                </w:rPr>
                <m:t>10,5 g</m:t>
              </m:r>
            </m:den>
          </m:f>
          <m:r>
            <w:rPr>
              <w:rFonts w:ascii="Cambria Math" w:eastAsiaTheme="minorEastAsia" w:hAnsi="Cambria Math"/>
            </w:rPr>
            <m:t xml:space="preserve">=0,96 </m:t>
          </m:r>
        </m:oMath>
      </m:oMathPara>
    </w:p>
    <w:p w:rsidR="00B55888" w:rsidRDefault="00B55888" w:rsidP="00B55888">
      <w:pPr>
        <w:tabs>
          <w:tab w:val="left" w:pos="1701"/>
          <w:tab w:val="left" w:pos="1985"/>
        </w:tabs>
        <w:ind w:left="1985" w:hanging="1985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>Laut den Literaturwerten, darf Rapsöl nur eine Säurezahl von 0,2</w:t>
      </w:r>
      <w:r>
        <w:rPr>
          <w:rFonts w:eastAsiaTheme="minorEastAsia"/>
        </w:rPr>
        <w:noBreakHyphen/>
        <w:t>2 mg Fettsäuren aufweisen. Der ermittelte Wert ist kleiner als der z</w:t>
      </w:r>
      <w:r>
        <w:rPr>
          <w:rFonts w:eastAsiaTheme="minorEastAsia"/>
        </w:rPr>
        <w:t>u</w:t>
      </w:r>
      <w:r>
        <w:rPr>
          <w:rFonts w:eastAsiaTheme="minorEastAsia"/>
        </w:rPr>
        <w:t>lässige Höchstwert von 2. Somit werden 0,96 mg KOH benötigt um die in 1 g Rapsöl enthaltenen freien Säuregruppen zu neutralisieren. Dadurch wu</w:t>
      </w:r>
      <w:r>
        <w:rPr>
          <w:rFonts w:eastAsiaTheme="minorEastAsia"/>
        </w:rPr>
        <w:t>r</w:t>
      </w:r>
      <w:r>
        <w:rPr>
          <w:rFonts w:eastAsiaTheme="minorEastAsia"/>
        </w:rPr>
        <w:t>de die Anzahl der freien Fettsäuren im Rapsöl qualitativ bestimmt und dadurch eine Bewertung des Messwerts anhand des Literaturwerts vorg</w:t>
      </w:r>
      <w:r>
        <w:rPr>
          <w:rFonts w:eastAsiaTheme="minorEastAsia"/>
        </w:rPr>
        <w:t>e</w:t>
      </w:r>
      <w:r>
        <w:rPr>
          <w:rFonts w:eastAsiaTheme="minorEastAsia"/>
        </w:rPr>
        <w:t>nommen sowie die Qualität des Rapsöls abgeschätzt werden kann.</w:t>
      </w:r>
    </w:p>
    <w:p w:rsidR="00B55888" w:rsidRDefault="00B55888" w:rsidP="00B55888">
      <w:pPr>
        <w:spacing w:line="276" w:lineRule="auto"/>
        <w:ind w:left="1985" w:hanging="1985"/>
        <w:jc w:val="left"/>
      </w:pPr>
      <w:r>
        <w:t>Entsorgung:</w:t>
      </w:r>
      <w:r>
        <w:tab/>
        <w:t xml:space="preserve">Die Entsorgung der Lösung geschieht im Behälter für organische Abfälle. </w:t>
      </w:r>
    </w:p>
    <w:p w:rsidR="00B55888" w:rsidRPr="00DA4A9A" w:rsidRDefault="00B55888" w:rsidP="00B55888">
      <w:pPr>
        <w:spacing w:line="276" w:lineRule="auto"/>
        <w:ind w:left="2127" w:hanging="2127"/>
        <w:jc w:val="left"/>
      </w:pPr>
      <w:r>
        <w:t>Literatur:</w:t>
      </w:r>
      <w:r>
        <w:tab/>
      </w:r>
      <w:r w:rsidRPr="008C5325">
        <w:rPr>
          <w:rStyle w:val="HTMLZitat"/>
        </w:rPr>
        <w:t>http://www.bunge-deutsc</w:t>
      </w:r>
      <w:r w:rsidRPr="008C5325">
        <w:rPr>
          <w:rStyle w:val="HTMLZitat"/>
        </w:rPr>
        <w:t>h</w:t>
      </w:r>
      <w:r w:rsidRPr="008C5325">
        <w:rPr>
          <w:rStyle w:val="HTMLZitat"/>
        </w:rPr>
        <w:t>land.de/fileadmin/user_upload/Raffiniertes_Rapsoel_DIN_51605__D_.pdf</w:t>
      </w:r>
      <w:r>
        <w:rPr>
          <w:rStyle w:val="HTMLZitat"/>
        </w:rPr>
        <w:t>, 08.08.16,</w:t>
      </w:r>
      <w:r w:rsidRPr="00DA4A9A">
        <w:rPr>
          <w:rStyle w:val="HTMLZitat"/>
        </w:rPr>
        <w:t xml:space="preserve"> </w:t>
      </w:r>
      <w:r w:rsidRPr="00330A37">
        <w:rPr>
          <w:rStyle w:val="HTMLZitat"/>
        </w:rPr>
        <w:t>(Zuletzt abgerufen am 0</w:t>
      </w:r>
      <w:r>
        <w:rPr>
          <w:rStyle w:val="HTMLZitat"/>
        </w:rPr>
        <w:t>8.08.16 um 15</w:t>
      </w:r>
      <w:r w:rsidRPr="00330A37">
        <w:rPr>
          <w:rStyle w:val="HTMLZitat"/>
        </w:rPr>
        <w:t>:50 Uhr).</w:t>
      </w:r>
    </w:p>
    <w:p w:rsidR="00B55888" w:rsidRDefault="00B55888" w:rsidP="00B55888">
      <w:pPr>
        <w:tabs>
          <w:tab w:val="left" w:pos="1701"/>
          <w:tab w:val="left" w:pos="1985"/>
        </w:tabs>
        <w:ind w:left="1980" w:hanging="1980"/>
      </w:pPr>
      <w:r>
        <w:pict>
          <v:shape id="_x0000_s1026" type="#_x0000_t202" style="width:462.45pt;height:226.3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B55888" w:rsidRDefault="00B55888" w:rsidP="00B55888">
                  <w:pPr>
                    <w:rPr>
                      <w:color w:val="auto"/>
                    </w:rPr>
                  </w:pPr>
                  <w:r w:rsidRPr="00F31EBF">
                    <w:rPr>
                      <w:b/>
                      <w:color w:val="auto"/>
                    </w:rPr>
                    <w:t xml:space="preserve">Unterrichtsanschlüsse </w:t>
                  </w:r>
                  <w:r>
                    <w:rPr>
                      <w:color w:val="auto"/>
                    </w:rPr>
                    <w:t xml:space="preserve">In diesem Versuch ist es wichtig, dass man mehrere verschiedene Öle miteinander vergleicht um die </w:t>
                  </w:r>
                  <w:proofErr w:type="spellStart"/>
                  <w:r>
                    <w:rPr>
                      <w:color w:val="auto"/>
                    </w:rPr>
                    <w:t>Diversität</w:t>
                  </w:r>
                  <w:proofErr w:type="spellEnd"/>
                  <w:r>
                    <w:rPr>
                      <w:color w:val="auto"/>
                    </w:rPr>
                    <w:t xml:space="preserve"> der Säurezahl bei den Öle darzustellen In der Schule darf mit 0,1 M Phenolphthalein-Lösung gearbeitet werden, dennoch bietet sich eine Substitut</w:t>
                  </w:r>
                  <w:r>
                    <w:rPr>
                      <w:color w:val="auto"/>
                    </w:rPr>
                    <w:t>i</w:t>
                  </w:r>
                  <w:r>
                    <w:rPr>
                      <w:color w:val="auto"/>
                    </w:rPr>
                    <w:t xml:space="preserve">onsprüfung an falls dieser Indikator nicht verwendet werden möchte. Als Alternative bieten sich </w:t>
                  </w:r>
                  <w:proofErr w:type="spellStart"/>
                  <w:r>
                    <w:rPr>
                      <w:color w:val="auto"/>
                    </w:rPr>
                    <w:t>Bromthymolblau</w:t>
                  </w:r>
                  <w:proofErr w:type="spellEnd"/>
                  <w:r>
                    <w:rPr>
                      <w:color w:val="auto"/>
                    </w:rPr>
                    <w:t xml:space="preserve"> und Lackmus an. Beide Indikatoren weisen einen Umschlagspunkt im relevanten pH-Bereich bei ca. 4-9 auf und sind somit für diesen Versuch geeignet.</w:t>
                  </w:r>
                </w:p>
                <w:p w:rsidR="00B55888" w:rsidRPr="00F31EBF" w:rsidRDefault="00B55888" w:rsidP="00B55888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In diesem Versuch werden die Kenntnisse über Säure</w:t>
                  </w:r>
                  <w:r>
                    <w:rPr>
                      <w:color w:val="auto"/>
                    </w:rPr>
                    <w:noBreakHyphen/>
                    <w:t xml:space="preserve">Base Titrationen wiederholt, da hier eine Neutralisationsreaktion der freien </w:t>
                  </w:r>
                  <w:proofErr w:type="spellStart"/>
                  <w:r>
                    <w:rPr>
                      <w:color w:val="auto"/>
                    </w:rPr>
                    <w:t>Carboxylgruppen</w:t>
                  </w:r>
                  <w:proofErr w:type="spellEnd"/>
                  <w:r>
                    <w:rPr>
                      <w:color w:val="auto"/>
                    </w:rPr>
                    <w:t xml:space="preserve"> abläuft mit Hilfe derer auf die freien Fet</w:t>
                  </w:r>
                  <w:r>
                    <w:rPr>
                      <w:color w:val="auto"/>
                    </w:rPr>
                    <w:t>t</w:t>
                  </w:r>
                  <w:r>
                    <w:rPr>
                      <w:color w:val="auto"/>
                    </w:rPr>
                    <w:t>säuren im Öl geschlossen werden kann. Allerdings weist die Lösung keinen neutralen pH-Wert auf, da durch die stetige Hydroxid-Ionen-Zugabe ein Überschuss an diesen vorliegt und d</w:t>
                  </w:r>
                  <w:r>
                    <w:rPr>
                      <w:color w:val="auto"/>
                    </w:rPr>
                    <w:t>a</w:t>
                  </w:r>
                  <w:r>
                    <w:rPr>
                      <w:color w:val="auto"/>
                    </w:rPr>
                    <w:t>durch die Lösung nicht neutral ist.</w:t>
                  </w:r>
                </w:p>
              </w:txbxContent>
            </v:textbox>
            <w10:wrap type="none"/>
            <w10:anchorlock/>
          </v:shape>
        </w:pict>
      </w:r>
    </w:p>
    <w:p w:rsidR="00DF0669" w:rsidRDefault="00DF0669"/>
    <w:sectPr w:rsidR="00DF0669" w:rsidSect="00DF06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55888"/>
    <w:rsid w:val="00752507"/>
    <w:rsid w:val="00B43817"/>
    <w:rsid w:val="00B55888"/>
    <w:rsid w:val="00DF0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5888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5888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588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55888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588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588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588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588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588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588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5888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5888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55888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58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58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58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58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58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58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B55888"/>
    <w:pPr>
      <w:spacing w:line="240" w:lineRule="auto"/>
    </w:pPr>
    <w:rPr>
      <w:bCs/>
      <w:color w:val="auto"/>
      <w:sz w:val="18"/>
      <w:szCs w:val="18"/>
    </w:rPr>
  </w:style>
  <w:style w:type="character" w:styleId="HTMLZitat">
    <w:name w:val="HTML Cite"/>
    <w:basedOn w:val="Absatz-Standardschriftart"/>
    <w:uiPriority w:val="99"/>
    <w:semiHidden/>
    <w:unhideWhenUsed/>
    <w:rsid w:val="00B55888"/>
    <w:rPr>
      <w:i/>
      <w:iCs/>
    </w:rPr>
  </w:style>
  <w:style w:type="table" w:styleId="HelleListe-Akzent1">
    <w:name w:val="Light List Accent 1"/>
    <w:basedOn w:val="NormaleTabelle"/>
    <w:uiPriority w:val="61"/>
    <w:rsid w:val="00B55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gc">
    <w:name w:val="_tgc"/>
    <w:basedOn w:val="Absatz-Standardschriftart"/>
    <w:rsid w:val="00B558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5888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2190</Characters>
  <Application>Microsoft Office Word</Application>
  <DocSecurity>0</DocSecurity>
  <Lines>18</Lines>
  <Paragraphs>5</Paragraphs>
  <ScaleCrop>false</ScaleCrop>
  <Company>HAASE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</cp:revision>
  <dcterms:created xsi:type="dcterms:W3CDTF">2016-08-10T11:57:00Z</dcterms:created>
  <dcterms:modified xsi:type="dcterms:W3CDTF">2016-08-10T11:57:00Z</dcterms:modified>
</cp:coreProperties>
</file>