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60" w:rsidRPr="00146E5F" w:rsidRDefault="00421460" w:rsidP="00421460">
      <w:pPr>
        <w:pStyle w:val="berschrift1"/>
        <w:numPr>
          <w:ilvl w:val="0"/>
          <w:numId w:val="0"/>
        </w:numPr>
        <w:ind w:left="432" w:hanging="432"/>
      </w:pPr>
      <w:bookmarkStart w:id="0" w:name="_Toc458498434"/>
      <w:r>
        <w:rPr>
          <w:noProof/>
          <w:lang w:eastAsia="de-DE"/>
        </w:rPr>
        <mc:AlternateContent>
          <mc:Choice Requires="wps">
            <w:drawing>
              <wp:anchor distT="0" distB="0" distL="114300" distR="114300" simplePos="0" relativeHeight="251660288" behindDoc="0" locked="0" layoutInCell="1" allowOverlap="1" wp14:anchorId="5B8E62FA" wp14:editId="00780243">
                <wp:simplePos x="0" y="0"/>
                <wp:positionH relativeFrom="margin">
                  <wp:align>left</wp:align>
                </wp:positionH>
                <wp:positionV relativeFrom="paragraph">
                  <wp:posOffset>694690</wp:posOffset>
                </wp:positionV>
                <wp:extent cx="5873115" cy="1056005"/>
                <wp:effectExtent l="0" t="0" r="13335" b="10795"/>
                <wp:wrapSquare wrapText="bothSides"/>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60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1460" w:rsidRPr="00F31EBF" w:rsidRDefault="00421460" w:rsidP="00421460">
                            <w:pPr>
                              <w:rPr>
                                <w:color w:val="auto"/>
                              </w:rPr>
                            </w:pPr>
                            <w:r>
                              <w:rPr>
                                <w:color w:val="auto"/>
                              </w:rPr>
                              <w:t xml:space="preserve">Dieser Versuch kann durchgeführt werden, wenn die </w:t>
                            </w:r>
                            <w:proofErr w:type="spellStart"/>
                            <w:r>
                              <w:rPr>
                                <w:color w:val="auto"/>
                              </w:rPr>
                              <w:t>SuS</w:t>
                            </w:r>
                            <w:proofErr w:type="spellEnd"/>
                            <w:r>
                              <w:rPr>
                                <w:color w:val="auto"/>
                              </w:rPr>
                              <w:t xml:space="preserve"> den pH-Wert definieren und damit Konzentrationen berechnen können. Außerdem müssen das Massenwirkungsgesetz und Reaktionsgleichungen aufgestellt werden können. Anhand dieses Versuchs kann der Zusammenhang zwischen Ionenprodukt und Löslichkeitsprodukt deutlich gemacht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E62FA" id="_x0000_t202" coordsize="21600,21600" o:spt="202" path="m,l,21600r21600,l21600,xe">
                <v:stroke joinstyle="miter"/>
                <v:path gradientshapeok="t" o:connecttype="rect"/>
              </v:shapetype>
              <v:shape id="Text Box 138" o:spid="_x0000_s1026" type="#_x0000_t202" style="position:absolute;left:0;text-align:left;margin-left:0;margin-top:54.7pt;width:462.45pt;height:8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3O7gIAAC0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" fillcolor="white [3201]" strokecolor="#4472c4 [3208]" strokeweight="1pt">
                <v:stroke dashstyle="dash"/>
                <v:shadow color="#868686"/>
                <v:textbox>
                  <w:txbxContent>
                    <w:p w:rsidR="00421460" w:rsidRPr="00F31EBF" w:rsidRDefault="00421460" w:rsidP="00421460">
                      <w:pPr>
                        <w:rPr>
                          <w:color w:val="auto"/>
                        </w:rPr>
                      </w:pPr>
                      <w:r>
                        <w:rPr>
                          <w:color w:val="auto"/>
                        </w:rPr>
                        <w:t xml:space="preserve">Dieser Versuch kann durchgeführt werden, wenn die </w:t>
                      </w:r>
                      <w:proofErr w:type="spellStart"/>
                      <w:r>
                        <w:rPr>
                          <w:color w:val="auto"/>
                        </w:rPr>
                        <w:t>SuS</w:t>
                      </w:r>
                      <w:proofErr w:type="spellEnd"/>
                      <w:r>
                        <w:rPr>
                          <w:color w:val="auto"/>
                        </w:rPr>
                        <w:t xml:space="preserve"> den pH-Wert definieren und damit Konzentrationen berechnen können. Außerdem müssen das Massenwirkungsgesetz und Reaktionsgleichungen aufgestellt werden können. Anhand dieses Versuchs kann der Zusammenhang zwischen Ionenprodukt und Löslichkeitsprodukt deutlich gemacht werden.</w:t>
                      </w:r>
                    </w:p>
                  </w:txbxContent>
                </v:textbox>
                <w10:wrap type="square" anchorx="margin"/>
              </v:shape>
            </w:pict>
          </mc:Fallback>
        </mc:AlternateContent>
      </w:r>
      <w:r w:rsidRPr="00146E5F">
        <w:t>V4 – Fällung von Sulfiden</w:t>
      </w:r>
      <w:bookmarkEnd w:id="0"/>
    </w:p>
    <w:p w:rsidR="00421460" w:rsidRPr="00146E5F" w:rsidRDefault="00421460" w:rsidP="00421460">
      <w:pPr>
        <w:pStyle w:val="berschrift2"/>
        <w:numPr>
          <w:ilvl w:val="0"/>
          <w:numId w:val="0"/>
        </w:numPr>
      </w:pPr>
      <w:bookmarkStart w:id="1" w:name="_Toc457995082"/>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21460" w:rsidRPr="00146E5F" w:rsidTr="00256592">
        <w:tc>
          <w:tcPr>
            <w:tcW w:w="9322" w:type="dxa"/>
            <w:gridSpan w:val="9"/>
            <w:shd w:val="clear" w:color="auto" w:fill="4F81BD"/>
            <w:vAlign w:val="center"/>
          </w:tcPr>
          <w:p w:rsidR="00421460" w:rsidRPr="00146E5F" w:rsidRDefault="00421460" w:rsidP="00256592">
            <w:pPr>
              <w:spacing w:after="0"/>
              <w:jc w:val="center"/>
              <w:rPr>
                <w:b/>
                <w:bCs/>
                <w:color w:val="FFFFFF" w:themeColor="background1"/>
              </w:rPr>
            </w:pPr>
            <w:r w:rsidRPr="00146E5F">
              <w:rPr>
                <w:b/>
                <w:bCs/>
                <w:color w:val="FFFFFF" w:themeColor="background1"/>
              </w:rPr>
              <w:t>Gefahrenstoffe</w:t>
            </w:r>
          </w:p>
        </w:tc>
      </w:tr>
      <w:tr w:rsidR="00421460" w:rsidRPr="00146E5F" w:rsidTr="0025659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1460" w:rsidRPr="00146E5F" w:rsidRDefault="00421460" w:rsidP="00256592">
            <w:pPr>
              <w:spacing w:after="0" w:line="276" w:lineRule="auto"/>
              <w:jc w:val="center"/>
              <w:rPr>
                <w:b/>
                <w:bCs/>
              </w:rPr>
            </w:pPr>
            <w:r w:rsidRPr="00146E5F">
              <w:rPr>
                <w:sz w:val="20"/>
              </w:rPr>
              <w:t>Salzsäure</w:t>
            </w:r>
          </w:p>
        </w:tc>
        <w:tc>
          <w:tcPr>
            <w:tcW w:w="3177" w:type="dxa"/>
            <w:gridSpan w:val="3"/>
            <w:tcBorders>
              <w:top w:val="single" w:sz="8" w:space="0" w:color="4F81BD"/>
              <w:bottom w:val="single" w:sz="8" w:space="0" w:color="4F81BD"/>
            </w:tcBorders>
            <w:shd w:val="clear" w:color="auto" w:fill="auto"/>
            <w:vAlign w:val="center"/>
          </w:tcPr>
          <w:p w:rsidR="00421460" w:rsidRPr="00421460" w:rsidRDefault="00421460" w:rsidP="00256592">
            <w:pPr>
              <w:spacing w:after="0"/>
              <w:jc w:val="center"/>
            </w:pPr>
            <w:r w:rsidRPr="00421460">
              <w:rPr>
                <w:sz w:val="20"/>
              </w:rPr>
              <w:t xml:space="preserve">H: </w:t>
            </w:r>
            <w:hyperlink r:id="rId5" w:anchor="H-S.C3.A4tze" w:tooltip="H- und P-Sätze" w:history="1">
              <w:r w:rsidRPr="00421460">
                <w:rPr>
                  <w:rStyle w:val="Hyperlink"/>
                  <w:color w:val="auto"/>
                  <w:sz w:val="20"/>
                  <w:u w:val="none"/>
                </w:rPr>
                <w:t>332</w:t>
              </w:r>
            </w:hyperlink>
            <w:r w:rsidRPr="00421460">
              <w:rPr>
                <w:sz w:val="20"/>
              </w:rPr>
              <w:t>-</w:t>
            </w:r>
            <w:hyperlink r:id="rId6" w:anchor="H-S.C3.A4tze" w:tooltip="H- und P-Sätze" w:history="1">
              <w:r w:rsidRPr="00421460">
                <w:rPr>
                  <w:rStyle w:val="Hyperlink"/>
                  <w:color w:val="auto"/>
                  <w:sz w:val="20"/>
                  <w:u w:val="none"/>
                </w:rPr>
                <w:t>302</w:t>
              </w:r>
            </w:hyperlink>
            <w:r w:rsidRPr="00421460">
              <w:rPr>
                <w:sz w:val="20"/>
              </w:rPr>
              <w:t>-</w:t>
            </w:r>
            <w:hyperlink r:id="rId7" w:anchor="H-S.C3.A4tze" w:tooltip="H- und P-Sätze" w:history="1">
              <w:r w:rsidRPr="00421460">
                <w:rPr>
                  <w:rStyle w:val="Hyperlink"/>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1460" w:rsidRPr="00421460" w:rsidRDefault="00421460" w:rsidP="00256592">
            <w:pPr>
              <w:spacing w:after="0"/>
              <w:jc w:val="center"/>
            </w:pPr>
            <w:r w:rsidRPr="00421460">
              <w:rPr>
                <w:sz w:val="20"/>
              </w:rPr>
              <w:t xml:space="preserve">P: </w:t>
            </w:r>
            <w:r w:rsidRPr="00421460">
              <w:fldChar w:fldCharType="begin"/>
            </w:r>
            <w:r w:rsidRPr="00421460">
              <w:instrText xml:space="preserve"> HYPERLINK "http://de.wikipedia.org/wiki/H-_und_P-S%C3%A4tze" \l "P-S.C3.A4tze" \o "H- und P-Sätze" </w:instrText>
            </w:r>
            <w:r w:rsidRPr="00421460">
              <w:fldChar w:fldCharType="separate"/>
            </w:r>
            <w:r w:rsidRPr="00421460">
              <w:rPr>
                <w:rStyle w:val="Hyperlink"/>
                <w:color w:val="auto"/>
                <w:sz w:val="20"/>
                <w:u w:val="none"/>
              </w:rPr>
              <w:t>280</w:t>
            </w:r>
            <w:r w:rsidRPr="00421460">
              <w:rPr>
                <w:rStyle w:val="Hyperlink"/>
                <w:color w:val="auto"/>
                <w:sz w:val="20"/>
                <w:u w:val="none"/>
              </w:rPr>
              <w:fldChar w:fldCharType="end"/>
            </w:r>
            <w:r>
              <w:rPr>
                <w:sz w:val="20"/>
              </w:rPr>
              <w:t>-</w:t>
            </w:r>
            <w:bookmarkStart w:id="2" w:name="_GoBack"/>
            <w:bookmarkEnd w:id="2"/>
            <w:r w:rsidRPr="00421460">
              <w:fldChar w:fldCharType="begin"/>
            </w:r>
            <w:r w:rsidRPr="00421460">
              <w:instrText xml:space="preserve"> HYPERLINK "http://de.wikipedia.org/wiki/H-_und_P-S%C3%A4tze" \l "P-S.C3.A4tze" \o "H- und P-Sätze" </w:instrText>
            </w:r>
            <w:r w:rsidRPr="00421460">
              <w:fldChar w:fldCharType="separate"/>
            </w:r>
            <w:r w:rsidRPr="00421460">
              <w:rPr>
                <w:rStyle w:val="Hyperlink"/>
                <w:color w:val="auto"/>
                <w:sz w:val="20"/>
                <w:u w:val="none"/>
              </w:rPr>
              <w:t>301+330+331</w:t>
            </w:r>
            <w:r w:rsidRPr="00421460">
              <w:rPr>
                <w:rStyle w:val="Hyperlink"/>
                <w:color w:val="auto"/>
                <w:sz w:val="20"/>
                <w:u w:val="none"/>
              </w:rPr>
              <w:fldChar w:fldCharType="end"/>
            </w:r>
          </w:p>
        </w:tc>
      </w:tr>
      <w:tr w:rsidR="00421460" w:rsidRPr="00146E5F" w:rsidTr="00256592">
        <w:trPr>
          <w:trHeight w:val="434"/>
        </w:trPr>
        <w:tc>
          <w:tcPr>
            <w:tcW w:w="3027" w:type="dxa"/>
            <w:gridSpan w:val="3"/>
            <w:tcBorders>
              <w:bottom w:val="single" w:sz="4" w:space="0" w:color="5B9BD5" w:themeColor="accent1"/>
            </w:tcBorders>
            <w:shd w:val="clear" w:color="auto" w:fill="auto"/>
            <w:vAlign w:val="center"/>
          </w:tcPr>
          <w:p w:rsidR="00421460" w:rsidRPr="00146E5F" w:rsidRDefault="00421460" w:rsidP="00256592">
            <w:pPr>
              <w:spacing w:after="0" w:line="276" w:lineRule="auto"/>
              <w:jc w:val="center"/>
              <w:rPr>
                <w:bCs/>
                <w:sz w:val="20"/>
              </w:rPr>
            </w:pPr>
            <w:r w:rsidRPr="00146E5F">
              <w:rPr>
                <w:color w:val="auto"/>
                <w:sz w:val="20"/>
                <w:szCs w:val="20"/>
              </w:rPr>
              <w:t>Ammoniak-Lösung</w:t>
            </w:r>
          </w:p>
        </w:tc>
        <w:tc>
          <w:tcPr>
            <w:tcW w:w="3177" w:type="dxa"/>
            <w:gridSpan w:val="3"/>
            <w:tcBorders>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H: 302-314-335-400</w:t>
            </w:r>
          </w:p>
        </w:tc>
        <w:tc>
          <w:tcPr>
            <w:tcW w:w="3118" w:type="dxa"/>
            <w:gridSpan w:val="3"/>
            <w:tcBorders>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P: 273-280-301+330+331-304+340-305+351+338-309+310</w:t>
            </w:r>
          </w:p>
        </w:tc>
      </w:tr>
      <w:tr w:rsidR="00421460" w:rsidRPr="00146E5F" w:rsidTr="00256592">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spacing w:after="0" w:line="276" w:lineRule="auto"/>
              <w:jc w:val="center"/>
              <w:rPr>
                <w:color w:val="auto"/>
                <w:sz w:val="20"/>
                <w:szCs w:val="20"/>
              </w:rPr>
            </w:pPr>
            <w:proofErr w:type="spellStart"/>
            <w:r w:rsidRPr="00146E5F">
              <w:rPr>
                <w:color w:val="auto"/>
                <w:sz w:val="20"/>
                <w:szCs w:val="20"/>
              </w:rPr>
              <w:t>Bismutchlorid</w:t>
            </w:r>
            <w:proofErr w:type="spellEnd"/>
          </w:p>
        </w:tc>
        <w:tc>
          <w:tcPr>
            <w:tcW w:w="317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H: 315-319</w:t>
            </w:r>
          </w:p>
        </w:tc>
        <w:tc>
          <w:tcPr>
            <w:tcW w:w="3118"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P: 302+352-305+351+338</w:t>
            </w:r>
          </w:p>
        </w:tc>
      </w:tr>
      <w:tr w:rsidR="00421460" w:rsidRPr="00146E5F" w:rsidTr="00256592">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spacing w:after="0" w:line="276" w:lineRule="auto"/>
              <w:jc w:val="center"/>
              <w:rPr>
                <w:color w:val="auto"/>
                <w:sz w:val="20"/>
                <w:szCs w:val="20"/>
              </w:rPr>
            </w:pPr>
            <w:r w:rsidRPr="00146E5F">
              <w:rPr>
                <w:color w:val="auto"/>
                <w:sz w:val="20"/>
                <w:szCs w:val="20"/>
              </w:rPr>
              <w:t>Eisenchlorid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H: 302-315-318-317</w:t>
            </w:r>
          </w:p>
        </w:tc>
        <w:tc>
          <w:tcPr>
            <w:tcW w:w="3118"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P: 280-301+312-302+352-305+351+338-310</w:t>
            </w:r>
          </w:p>
        </w:tc>
      </w:tr>
      <w:tr w:rsidR="00421460" w:rsidRPr="00146E5F" w:rsidTr="00256592">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spacing w:after="0" w:line="276" w:lineRule="auto"/>
              <w:jc w:val="center"/>
              <w:rPr>
                <w:color w:val="auto"/>
                <w:sz w:val="20"/>
                <w:szCs w:val="20"/>
              </w:rPr>
            </w:pPr>
            <w:r w:rsidRPr="00146E5F">
              <w:rPr>
                <w:color w:val="auto"/>
                <w:sz w:val="20"/>
                <w:szCs w:val="20"/>
              </w:rPr>
              <w:t>Zinnchlorid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H: 302-314-317</w:t>
            </w:r>
          </w:p>
        </w:tc>
        <w:tc>
          <w:tcPr>
            <w:tcW w:w="3118"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P: 280-301+330+331-302+352-305+351+338-309+310</w:t>
            </w:r>
          </w:p>
        </w:tc>
      </w:tr>
      <w:tr w:rsidR="00421460" w:rsidRPr="00146E5F" w:rsidTr="00256592">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spacing w:after="0" w:line="276" w:lineRule="auto"/>
              <w:jc w:val="center"/>
              <w:rPr>
                <w:color w:val="auto"/>
                <w:sz w:val="20"/>
                <w:szCs w:val="20"/>
              </w:rPr>
            </w:pPr>
            <w:r w:rsidRPr="00146E5F">
              <w:rPr>
                <w:color w:val="auto"/>
                <w:sz w:val="20"/>
                <w:szCs w:val="20"/>
              </w:rPr>
              <w:t>Zinkchlorid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H: 302-314-410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r w:rsidRPr="00146E5F">
              <w:rPr>
                <w:sz w:val="20"/>
              </w:rPr>
              <w:t>P: 273-280-301+330+331-305+351+338-308+310</w:t>
            </w:r>
          </w:p>
        </w:tc>
      </w:tr>
      <w:tr w:rsidR="00421460" w:rsidRPr="00146E5F" w:rsidTr="00256592">
        <w:trPr>
          <w:trHeight w:val="434"/>
        </w:trPr>
        <w:tc>
          <w:tcPr>
            <w:tcW w:w="3027" w:type="dxa"/>
            <w:gridSpan w:val="3"/>
            <w:tcBorders>
              <w:top w:val="single" w:sz="4" w:space="0" w:color="5B9BD5" w:themeColor="accent1"/>
            </w:tcBorders>
            <w:shd w:val="clear" w:color="auto" w:fill="auto"/>
            <w:vAlign w:val="center"/>
          </w:tcPr>
          <w:p w:rsidR="00421460" w:rsidRPr="00146E5F" w:rsidRDefault="00421460" w:rsidP="00256592">
            <w:pPr>
              <w:spacing w:after="0" w:line="276" w:lineRule="auto"/>
              <w:jc w:val="center"/>
              <w:rPr>
                <w:color w:val="auto"/>
                <w:sz w:val="20"/>
                <w:szCs w:val="20"/>
              </w:rPr>
            </w:pPr>
            <w:r w:rsidRPr="00146E5F">
              <w:rPr>
                <w:color w:val="auto"/>
                <w:sz w:val="20"/>
                <w:szCs w:val="20"/>
              </w:rPr>
              <w:t>H</w:t>
            </w:r>
            <w:r w:rsidRPr="00146E5F">
              <w:rPr>
                <w:color w:val="auto"/>
                <w:sz w:val="20"/>
                <w:szCs w:val="20"/>
                <w:vertAlign w:val="subscript"/>
              </w:rPr>
              <w:t>2</w:t>
            </w:r>
            <w:r w:rsidRPr="00146E5F">
              <w:rPr>
                <w:color w:val="auto"/>
                <w:sz w:val="20"/>
                <w:szCs w:val="20"/>
              </w:rPr>
              <w:t>S-Wasser</w:t>
            </w:r>
          </w:p>
        </w:tc>
        <w:tc>
          <w:tcPr>
            <w:tcW w:w="3177" w:type="dxa"/>
            <w:gridSpan w:val="3"/>
            <w:tcBorders>
              <w:top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p>
        </w:tc>
        <w:tc>
          <w:tcPr>
            <w:tcW w:w="3118" w:type="dxa"/>
            <w:gridSpan w:val="3"/>
            <w:tcBorders>
              <w:top w:val="single" w:sz="4" w:space="0" w:color="5B9BD5" w:themeColor="accent1"/>
            </w:tcBorders>
            <w:shd w:val="clear" w:color="auto" w:fill="auto"/>
            <w:vAlign w:val="center"/>
          </w:tcPr>
          <w:p w:rsidR="00421460" w:rsidRPr="00146E5F" w:rsidRDefault="00421460" w:rsidP="00256592">
            <w:pPr>
              <w:pStyle w:val="Beschriftung"/>
              <w:spacing w:after="0"/>
              <w:jc w:val="center"/>
              <w:rPr>
                <w:sz w:val="20"/>
              </w:rPr>
            </w:pPr>
          </w:p>
        </w:tc>
      </w:tr>
      <w:tr w:rsidR="00421460" w:rsidRPr="00146E5F" w:rsidTr="00256592">
        <w:tc>
          <w:tcPr>
            <w:tcW w:w="1009" w:type="dxa"/>
            <w:tcBorders>
              <w:top w:val="single" w:sz="8" w:space="0" w:color="4F81BD"/>
              <w:left w:val="single" w:sz="8" w:space="0" w:color="4F81BD"/>
              <w:bottom w:val="single" w:sz="8" w:space="0" w:color="4F81BD"/>
            </w:tcBorders>
            <w:shd w:val="clear" w:color="auto" w:fill="auto"/>
            <w:vAlign w:val="center"/>
          </w:tcPr>
          <w:p w:rsidR="00421460" w:rsidRPr="00146E5F" w:rsidRDefault="00421460" w:rsidP="00256592">
            <w:pPr>
              <w:spacing w:after="0"/>
              <w:jc w:val="center"/>
              <w:rPr>
                <w:b/>
                <w:bCs/>
              </w:rPr>
            </w:pPr>
            <w:r w:rsidRPr="00146E5F">
              <w:rPr>
                <w:b/>
                <w:noProof/>
                <w:lang w:eastAsia="de-DE"/>
              </w:rPr>
              <w:drawing>
                <wp:inline distT="0" distB="0" distL="0" distR="0" wp14:anchorId="16FB7053" wp14:editId="4710EB88">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6F289B67" wp14:editId="03DEC298">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13DC0495" wp14:editId="7AA886EA">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2E4CC774" wp14:editId="528C7E23">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72CFEC1D" wp14:editId="2DA207DA">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3C13FEA7" wp14:editId="661D18F1">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0552D24F" wp14:editId="555AE4BC">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1B05D771" wp14:editId="4A26C70B">
                  <wp:extent cx="511175" cy="51117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21460" w:rsidRPr="00146E5F" w:rsidRDefault="00421460" w:rsidP="00256592">
            <w:pPr>
              <w:spacing w:after="0"/>
              <w:jc w:val="center"/>
            </w:pPr>
            <w:r w:rsidRPr="00146E5F">
              <w:rPr>
                <w:noProof/>
                <w:lang w:eastAsia="de-DE"/>
              </w:rPr>
              <w:drawing>
                <wp:inline distT="0" distB="0" distL="0" distR="0" wp14:anchorId="4CAEC54A" wp14:editId="67D38EFB">
                  <wp:extent cx="514350" cy="514350"/>
                  <wp:effectExtent l="0" t="0" r="0" b="0"/>
                  <wp:docPr id="47" name="Grafik 47" descr="C:\Uni\Master\Praktika\SVP Chemie\Templat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ni\Master\Praktika\SVP Chemie\Template\Piktogramme\Umweltgefah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bl>
    <w:p w:rsidR="00421460" w:rsidRPr="00146E5F" w:rsidRDefault="00421460" w:rsidP="00421460">
      <w:pPr>
        <w:tabs>
          <w:tab w:val="left" w:pos="1701"/>
          <w:tab w:val="left" w:pos="1985"/>
        </w:tabs>
        <w:ind w:left="1980" w:hanging="1980"/>
      </w:pPr>
    </w:p>
    <w:p w:rsidR="00421460" w:rsidRPr="00146E5F" w:rsidRDefault="00421460" w:rsidP="00421460">
      <w:pPr>
        <w:tabs>
          <w:tab w:val="left" w:pos="1701"/>
          <w:tab w:val="left" w:pos="1985"/>
        </w:tabs>
        <w:ind w:left="1980" w:hanging="1980"/>
      </w:pPr>
      <w:r w:rsidRPr="00146E5F">
        <w:t xml:space="preserve">Materialien: </w:t>
      </w:r>
      <w:r w:rsidRPr="00146E5F">
        <w:tab/>
      </w:r>
      <w:r w:rsidRPr="00146E5F">
        <w:tab/>
        <w:t>10 Reagenzgläser, Reagenzglasständer, pH-Meter, Pipette</w:t>
      </w:r>
    </w:p>
    <w:p w:rsidR="00421460" w:rsidRPr="00146E5F" w:rsidRDefault="00421460" w:rsidP="00421460">
      <w:pPr>
        <w:tabs>
          <w:tab w:val="left" w:pos="1701"/>
          <w:tab w:val="left" w:pos="1985"/>
        </w:tabs>
        <w:ind w:left="1980" w:hanging="1980"/>
      </w:pPr>
      <w:r w:rsidRPr="00146E5F">
        <w:t>Chemikalien:</w:t>
      </w:r>
      <w:r w:rsidRPr="00146E5F">
        <w:tab/>
      </w:r>
      <w:r w:rsidRPr="00146E5F">
        <w:tab/>
        <w:t xml:space="preserve">Salzsäure, Ammoniak-Lösung, </w:t>
      </w:r>
      <w:proofErr w:type="spellStart"/>
      <w:r w:rsidRPr="00146E5F">
        <w:t>Bismutchlorid</w:t>
      </w:r>
      <w:proofErr w:type="spellEnd"/>
      <w:r w:rsidRPr="00146E5F">
        <w:t>, Eisenchlorid, Zinnchlorid, Zinkchlorid</w:t>
      </w:r>
    </w:p>
    <w:p w:rsidR="00421460" w:rsidRPr="00146E5F" w:rsidRDefault="00421460" w:rsidP="00421460">
      <w:pPr>
        <w:tabs>
          <w:tab w:val="left" w:pos="1701"/>
          <w:tab w:val="left" w:pos="1985"/>
        </w:tabs>
        <w:ind w:left="1980" w:hanging="1980"/>
      </w:pPr>
      <w:r w:rsidRPr="00146E5F">
        <w:t xml:space="preserve">Durchführung: </w:t>
      </w:r>
      <w:r w:rsidRPr="00146E5F">
        <w:tab/>
      </w:r>
      <w:r w:rsidRPr="00146E5F">
        <w:tab/>
      </w:r>
      <w:r w:rsidRPr="00146E5F">
        <w:tab/>
        <w:t xml:space="preserve">Die vier verschiedenen Metallsalze müssen im Reagenzglas </w:t>
      </w:r>
      <w:r>
        <w:t xml:space="preserve">mit der Konzentration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hAnsi="Cambria Math"/>
          </w:rPr>
          <m:t xml:space="preserve"> </m:t>
        </m:r>
      </m:oMath>
      <w:r w:rsidRPr="00146E5F">
        <w:t>als Lösung angesetzt werden und mit Hilfe von Ammoniak-Lösung und Salzsäure je</w:t>
      </w:r>
      <w:proofErr w:type="spellStart"/>
      <w:r>
        <w:t>weils</w:t>
      </w:r>
      <w:proofErr w:type="spellEnd"/>
      <w:r w:rsidRPr="00146E5F">
        <w:t xml:space="preserve"> auf den pH-Wert </w:t>
      </w:r>
      <w:r w:rsidRPr="00146E5F">
        <w:rPr>
          <w:rFonts w:ascii="Calibri" w:hAnsi="Calibri"/>
        </w:rPr>
        <w:t>≈</w:t>
      </w:r>
      <w:r w:rsidRPr="00146E5F">
        <w:t xml:space="preserve">0 und 9 gebracht werden. Anschließend wird zu jeder Lösung die gleiche Menge </w:t>
      </w:r>
      <w:r>
        <w:t xml:space="preserve">gesättigte </w:t>
      </w:r>
      <w:r w:rsidRPr="00146E5F">
        <w:rPr>
          <w:color w:val="auto"/>
        </w:rPr>
        <w:t>H</w:t>
      </w:r>
      <w:r w:rsidRPr="00146E5F">
        <w:rPr>
          <w:color w:val="auto"/>
          <w:vertAlign w:val="subscript"/>
        </w:rPr>
        <w:t>2</w:t>
      </w:r>
      <w:r w:rsidRPr="00146E5F">
        <w:rPr>
          <w:color w:val="auto"/>
        </w:rPr>
        <w:t>S-</w:t>
      </w:r>
      <w:r>
        <w:rPr>
          <w:color w:val="auto"/>
        </w:rPr>
        <w:t>Lösung</w:t>
      </w:r>
      <w:r w:rsidRPr="00146E5F">
        <w:rPr>
          <w:color w:val="auto"/>
        </w:rPr>
        <w:t xml:space="preserve"> hinzugegeben.</w:t>
      </w:r>
      <w:r>
        <w:rPr>
          <w:color w:val="auto"/>
        </w:rPr>
        <w:t xml:space="preserve"> In einer gesättigten </w:t>
      </w:r>
      <w:r w:rsidRPr="00146E5F">
        <w:rPr>
          <w:color w:val="auto"/>
        </w:rPr>
        <w:t>H</w:t>
      </w:r>
      <w:r w:rsidRPr="00146E5F">
        <w:rPr>
          <w:color w:val="auto"/>
          <w:vertAlign w:val="subscript"/>
        </w:rPr>
        <w:t>2</w:t>
      </w:r>
      <w:r w:rsidRPr="00146E5F">
        <w:rPr>
          <w:color w:val="auto"/>
        </w:rPr>
        <w:t>S-</w:t>
      </w:r>
      <w:r>
        <w:rPr>
          <w:color w:val="auto"/>
        </w:rPr>
        <w:t xml:space="preserve">Lösung kann die Konzentration konstant als etwa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xml:space="preserve"> angenommen werden.</w:t>
      </w:r>
    </w:p>
    <w:p w:rsidR="00421460" w:rsidRPr="00146E5F" w:rsidRDefault="00421460" w:rsidP="00421460">
      <w:pPr>
        <w:tabs>
          <w:tab w:val="left" w:pos="1701"/>
          <w:tab w:val="left" w:pos="1985"/>
        </w:tabs>
        <w:spacing w:after="0"/>
        <w:ind w:left="1980" w:hanging="1980"/>
      </w:pPr>
      <w:r>
        <w:rPr>
          <w:noProof/>
          <w:lang w:eastAsia="de-DE"/>
        </w:rPr>
        <w:lastRenderedPageBreak/>
        <mc:AlternateContent>
          <mc:Choice Requires="wps">
            <w:drawing>
              <wp:anchor distT="0" distB="0" distL="114300" distR="114300" simplePos="0" relativeHeight="251661312" behindDoc="0" locked="0" layoutInCell="1" allowOverlap="1" wp14:anchorId="3A2130FD" wp14:editId="266132C7">
                <wp:simplePos x="0" y="0"/>
                <wp:positionH relativeFrom="column">
                  <wp:posOffset>567055</wp:posOffset>
                </wp:positionH>
                <wp:positionV relativeFrom="paragraph">
                  <wp:posOffset>3348355</wp:posOffset>
                </wp:positionV>
                <wp:extent cx="4619625" cy="260985"/>
                <wp:effectExtent l="0" t="0" r="0" b="0"/>
                <wp:wrapTopAndBottom/>
                <wp:docPr id="1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460" w:rsidRPr="008F21A0" w:rsidRDefault="00421460" w:rsidP="00421460">
                            <w:pPr>
                              <w:pStyle w:val="Beschriftung"/>
                              <w:rPr>
                                <w:noProof/>
                                <w:color w:val="171717" w:themeColor="background2" w:themeShade="1A"/>
                              </w:rPr>
                            </w:pPr>
                            <w:r>
                              <w:t>Abbildung 9: Metallsalzlösungen nach Zugabe des HS-Wassers.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130FD" id="Text Box 160" o:spid="_x0000_s1027" type="#_x0000_t202" style="position:absolute;left:0;text-align:left;margin-left:44.65pt;margin-top:263.65pt;width:363.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" stroked="f">
                <v:textbox style="mso-fit-shape-to-text:t" inset="0,0,0,0">
                  <w:txbxContent>
                    <w:p w:rsidR="00421460" w:rsidRPr="008F21A0" w:rsidRDefault="00421460" w:rsidP="00421460">
                      <w:pPr>
                        <w:pStyle w:val="Beschriftung"/>
                        <w:rPr>
                          <w:noProof/>
                          <w:color w:val="171717" w:themeColor="background2" w:themeShade="1A"/>
                        </w:rPr>
                      </w:pPr>
                      <w:r>
                        <w:t>Abbildung 9: Metallsalzlösungen nach Zugabe des HS-Wassers.</w:t>
                      </w:r>
                    </w:p>
                  </w:txbxContent>
                </v:textbox>
                <w10:wrap type="topAndBottom"/>
              </v:shape>
            </w:pict>
          </mc:Fallback>
        </mc:AlternateContent>
      </w:r>
      <w:r w:rsidRPr="00146E5F">
        <w:rPr>
          <w:noProof/>
          <w:lang w:eastAsia="de-DE"/>
        </w:rPr>
        <w:drawing>
          <wp:anchor distT="0" distB="0" distL="114300" distR="114300" simplePos="0" relativeHeight="251659264" behindDoc="0" locked="0" layoutInCell="1" allowOverlap="1" wp14:anchorId="79E5C01A" wp14:editId="7E078E0B">
            <wp:simplePos x="0" y="0"/>
            <wp:positionH relativeFrom="column">
              <wp:posOffset>567055</wp:posOffset>
            </wp:positionH>
            <wp:positionV relativeFrom="paragraph">
              <wp:posOffset>799237</wp:posOffset>
            </wp:positionV>
            <wp:extent cx="4619625" cy="2562225"/>
            <wp:effectExtent l="0" t="0" r="0" b="0"/>
            <wp:wrapTopAndBottom/>
            <wp:docPr id="56" name="Grafik 56" descr="C:\Uni\Master\Praktika\SVP Chemie\1112 Löslichkeits_Ionenprodukt\Bilder\20160802_175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ni\Master\Praktika\SVP Chemie\1112 Löslichkeits_Ionenprodukt\Bilder\20160802_175304.jpg"/>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l="13692" t="15638" r="6117" b="5291"/>
                    <a:stretch/>
                  </pic:blipFill>
                  <pic:spPr bwMode="auto">
                    <a:xfrm rot="10800000">
                      <a:off x="0" y="0"/>
                      <a:ext cx="4619625" cy="2562225"/>
                    </a:xfrm>
                    <a:prstGeom prst="rect">
                      <a:avLst/>
                    </a:prstGeom>
                    <a:noFill/>
                    <a:ln>
                      <a:noFill/>
                    </a:ln>
                    <a:extLst>
                      <a:ext uri="{53640926-AAD7-44D8-BBD7-CCE9431645EC}">
                        <a14:shadowObscured xmlns:a14="http://schemas.microsoft.com/office/drawing/2010/main"/>
                      </a:ext>
                    </a:extLst>
                  </pic:spPr>
                </pic:pic>
              </a:graphicData>
            </a:graphic>
          </wp:anchor>
        </w:drawing>
      </w:r>
      <w:r w:rsidRPr="00146E5F">
        <w:t>Beobachtung:</w:t>
      </w:r>
      <w:r w:rsidRPr="00146E5F">
        <w:tab/>
      </w:r>
      <w:r w:rsidRPr="00146E5F">
        <w:tab/>
      </w:r>
      <w:r w:rsidRPr="00146E5F">
        <w:tab/>
        <w:t xml:space="preserve">In allen Lösungen, die auf pH=9 eingestellt sind, ist ein Niederschlag zu sehen. Bei der Zinkchlorid-Lösung und der </w:t>
      </w:r>
      <w:proofErr w:type="spellStart"/>
      <w:r w:rsidRPr="00146E5F">
        <w:t>Bistmutchlorid</w:t>
      </w:r>
      <w:proofErr w:type="spellEnd"/>
      <w:r w:rsidRPr="00146E5F">
        <w:t>-Lösung, die auf pH</w:t>
      </w:r>
      <w:r w:rsidRPr="00EF7455">
        <w:t>≈0 eingestellt sind, war ebenfalls ein Niederschlag zu erkennen.</w:t>
      </w:r>
    </w:p>
    <w:p w:rsidR="00421460" w:rsidRPr="00146E5F" w:rsidRDefault="00421460" w:rsidP="00421460">
      <w:pPr>
        <w:tabs>
          <w:tab w:val="left" w:pos="1701"/>
          <w:tab w:val="left" w:pos="1985"/>
        </w:tabs>
        <w:ind w:left="1980" w:hanging="1980"/>
      </w:pPr>
      <w:r w:rsidRPr="00146E5F">
        <w:t xml:space="preserve">Deutung: </w:t>
      </w:r>
      <w:r w:rsidRPr="00146E5F">
        <w:tab/>
      </w:r>
      <w:r w:rsidRPr="00146E5F">
        <w:tab/>
      </w:r>
      <w:r w:rsidRPr="00146E5F">
        <w:tab/>
        <w:t>Allgemeine Reaktionsgleichungen:</w:t>
      </w:r>
    </w:p>
    <w:p w:rsidR="00421460" w:rsidRPr="00146E5F" w:rsidRDefault="00421460" w:rsidP="00421460">
      <w:pPr>
        <w:tabs>
          <w:tab w:val="left" w:pos="1701"/>
          <w:tab w:val="left" w:pos="1985"/>
        </w:tabs>
        <w:ind w:left="1980" w:hanging="1980"/>
        <w:rPr>
          <w:rFonts w:eastAsiaTheme="minorEastAsia"/>
        </w:rPr>
      </w:pPr>
      <w:r w:rsidRPr="00146E5F">
        <w:tab/>
      </w:r>
      <w:r w:rsidRPr="00146E5F">
        <w:tab/>
        <w:t>Für zweiwertige Metallkationen:</w:t>
      </w:r>
      <m:oMath>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oMath>
      <w:r w:rsidRPr="00146E5F">
        <w:t xml:space="preserve"> </w:t>
      </w:r>
      <m:oMath>
        <m:sSub>
          <m:sSubPr>
            <m:ctrlPr>
              <w:rPr>
                <w:rFonts w:ascii="Cambria Math" w:hAnsi="Cambria Math"/>
              </w:rPr>
            </m:ctrlPr>
          </m:sSubPr>
          <m:e>
            <m:r>
              <m:rPr>
                <m:sty m:val="p"/>
              </m:rPr>
              <w:rPr>
                <w:rFonts w:ascii="Cambria Math" w:hAnsi="Cambria Math"/>
              </w:rPr>
              <m:t>MS</m:t>
            </m:r>
          </m:e>
          <m:sub>
            <m:r>
              <m:rPr>
                <m:sty m:val="p"/>
              </m:rPr>
              <w:rPr>
                <w:rFonts w:ascii="Cambria Math" w:hAnsi="Cambria Math"/>
              </w:rPr>
              <m:t>(s)</m:t>
            </m:r>
          </m:sub>
        </m:sSub>
      </m:oMath>
    </w:p>
    <w:p w:rsidR="00421460" w:rsidRPr="00146E5F" w:rsidRDefault="00421460" w:rsidP="00421460">
      <w:pPr>
        <w:tabs>
          <w:tab w:val="left" w:pos="1701"/>
          <w:tab w:val="left" w:pos="1985"/>
        </w:tabs>
        <w:ind w:left="1980" w:hanging="1980"/>
      </w:pPr>
      <w:r w:rsidRPr="00146E5F">
        <w:rPr>
          <w:rFonts w:eastAsiaTheme="minorEastAsia"/>
        </w:rPr>
        <w:tab/>
      </w:r>
      <w:r w:rsidRPr="00146E5F">
        <w:rPr>
          <w:rFonts w:eastAsiaTheme="minorEastAsia"/>
        </w:rPr>
        <w:tab/>
      </w:r>
      <w:r w:rsidRPr="00146E5F">
        <w:t>Für dreiwertige Metallkationen:</w:t>
      </w:r>
      <m:oMath>
        <m:r>
          <m:rPr>
            <m:sty m:val="p"/>
          </m:rPr>
          <w:rPr>
            <w:rFonts w:ascii="Cambria Math" w:hAnsi="Cambria Math"/>
          </w:rPr>
          <m:t xml:space="preserve"> 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3 S</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oMath>
      <w:r w:rsidRPr="00146E5F">
        <w:t xml:space="preserve">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3</m:t>
                </m:r>
              </m:sub>
            </m:sSub>
          </m:e>
          <m:sub>
            <m:r>
              <m:rPr>
                <m:sty m:val="p"/>
              </m:rPr>
              <w:rPr>
                <w:rFonts w:ascii="Cambria Math" w:hAnsi="Cambria Math"/>
              </w:rPr>
              <m:t>(s)</m:t>
            </m:r>
          </m:sub>
        </m:sSub>
      </m:oMath>
    </w:p>
    <w:p w:rsidR="00421460" w:rsidRPr="00146E5F" w:rsidRDefault="00421460" w:rsidP="00421460">
      <w:pPr>
        <w:tabs>
          <w:tab w:val="left" w:pos="1701"/>
          <w:tab w:val="left" w:pos="1985"/>
        </w:tabs>
        <w:spacing w:after="0"/>
        <w:ind w:left="1980" w:hanging="1980"/>
        <w:rPr>
          <w:rFonts w:eastAsiaTheme="minorEastAsia"/>
        </w:rPr>
      </w:pPr>
      <w:r w:rsidRPr="00146E5F">
        <w:tab/>
      </w:r>
      <w:r w:rsidRPr="00146E5F">
        <w:tab/>
        <w:t xml:space="preserve">Zur Berechnung der Löslichkeitsprodukte muss zuerst die </w:t>
      </w: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146E5F">
        <w:rPr>
          <w:rFonts w:eastAsiaTheme="minorEastAsia"/>
        </w:rPr>
        <w:t>-Konzentration berechnet werden:</w:t>
      </w:r>
    </w:p>
    <w:p w:rsidR="00421460" w:rsidRPr="00AB3413" w:rsidRDefault="00421460" w:rsidP="00421460">
      <w:pPr>
        <w:tabs>
          <w:tab w:val="left" w:pos="1701"/>
          <w:tab w:val="left" w:pos="1985"/>
        </w:tabs>
        <w:spacing w:after="0"/>
        <w:rPr>
          <w:rFonts w:eastAsiaTheme="minorEastAsia"/>
        </w:rPr>
      </w:pPr>
      <w:r>
        <w:rPr>
          <w:rFonts w:eastAsiaTheme="minorEastAsia"/>
        </w:rPr>
        <w:tab/>
      </w:r>
      <w:r>
        <w:rPr>
          <w:rFonts w:eastAsiaTheme="minorEastAsia"/>
        </w:rPr>
        <w:tab/>
        <w:t xml:space="preserve">Gegeben ist: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 xml:space="preserve"> S</m:t>
                </m:r>
              </m:e>
              <m:sup>
                <m:r>
                  <m:rPr>
                    <m:sty m:val="p"/>
                  </m:rP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oMath>
    </w:p>
    <w:p w:rsidR="00421460" w:rsidRDefault="00421460" w:rsidP="00421460">
      <w:pPr>
        <w:tabs>
          <w:tab w:val="left" w:pos="1701"/>
          <w:tab w:val="left" w:pos="1985"/>
        </w:tabs>
        <w:spacing w:after="0"/>
        <w:rPr>
          <w:rFonts w:eastAsiaTheme="minorEastAsia"/>
        </w:rPr>
      </w:pPr>
      <m:oMathPara>
        <m:oMath>
          <m:r>
            <m:rPr>
              <m:sty m:val="p"/>
            </m:rPr>
            <w:rPr>
              <w:rFonts w:ascii="Cambria Math" w:hAnsi="Cambria Math"/>
            </w:rPr>
            <m:t>⇒K=</m:t>
          </m:r>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num>
            <m:den>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den>
          </m:f>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-21</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hAnsi="Cambria Math"/>
            </w:rPr>
            <m:t xml:space="preserve"> </m:t>
          </m:r>
        </m:oMath>
      </m:oMathPara>
    </w:p>
    <w:p w:rsidR="00421460" w:rsidRPr="00AB3413" w:rsidRDefault="00421460" w:rsidP="00421460">
      <w:pPr>
        <w:tabs>
          <w:tab w:val="left" w:pos="1701"/>
          <w:tab w:val="left" w:pos="1985"/>
        </w:tabs>
        <w:spacing w:after="0"/>
        <w:rPr>
          <w:rFonts w:eastAsiaTheme="minorEastAsia"/>
        </w:rPr>
      </w:pPr>
      <w:r>
        <w:rPr>
          <w:rFonts w:eastAsiaTheme="minorEastAsia"/>
        </w:rPr>
        <w:tab/>
      </w:r>
      <w:r>
        <w:rPr>
          <w:rFonts w:eastAsiaTheme="minorEastAsia"/>
        </w:rPr>
        <w:tab/>
        <w:t>und</w:t>
      </w:r>
    </w:p>
    <w:p w:rsidR="00421460" w:rsidRDefault="00421460" w:rsidP="00421460">
      <w:pPr>
        <w:tabs>
          <w:tab w:val="left" w:pos="1701"/>
          <w:tab w:val="left" w:pos="1985"/>
        </w:tabs>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hAnsi="Cambria Math"/>
          </w:rPr>
          <m:t>c</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w:t>
      </w:r>
    </w:p>
    <w:p w:rsidR="00421460" w:rsidRPr="00AB3413" w:rsidRDefault="00421460" w:rsidP="00421460">
      <w:pPr>
        <w:tabs>
          <w:tab w:val="left" w:pos="1701"/>
          <w:tab w:val="left" w:pos="1985"/>
        </w:tabs>
        <w:spacing w:after="0"/>
        <w:rPr>
          <w:rFonts w:eastAsiaTheme="minorEastAsia"/>
        </w:rPr>
      </w:pPr>
      <w:r>
        <w:rPr>
          <w:rFonts w:eastAsiaTheme="minorEastAsia"/>
        </w:rPr>
        <w:tab/>
        <w:t>Daraus folgt:</w:t>
      </w:r>
    </w:p>
    <w:p w:rsidR="00421460" w:rsidRPr="000E6C3B" w:rsidRDefault="00421460" w:rsidP="00421460">
      <w:pPr>
        <w:tabs>
          <w:tab w:val="left" w:pos="1701"/>
          <w:tab w:val="left" w:pos="1985"/>
        </w:tabs>
        <w:spacing w:after="0"/>
        <w:ind w:left="1980" w:hanging="1980"/>
        <w:jc w:val="center"/>
        <w:rPr>
          <w:rFonts w:eastAsiaTheme="minorEastAsia"/>
        </w:rPr>
      </w:pPr>
      <m:oMathPara>
        <m:oMathParaPr>
          <m:jc m:val="left"/>
        </m:oMathParaPr>
        <m:oMath>
          <m:r>
            <m:rPr>
              <m:sty m:val="p"/>
            </m:rP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-21</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oMath>
      </m:oMathPara>
    </w:p>
    <w:p w:rsidR="00421460" w:rsidRPr="00F86D9F" w:rsidRDefault="00421460" w:rsidP="00421460">
      <w:pPr>
        <w:tabs>
          <w:tab w:val="left" w:pos="1701"/>
          <w:tab w:val="left" w:pos="1985"/>
        </w:tabs>
        <w:spacing w:after="0"/>
        <w:ind w:left="1980" w:hanging="1980"/>
        <w:jc w:val="center"/>
        <w:rPr>
          <w:rFonts w:eastAsiaTheme="minorEastAsia"/>
        </w:rPr>
      </w:pPr>
      <m:oMathPara>
        <m:oMathParaPr>
          <m:jc m:val="left"/>
        </m:oMathParaPr>
        <m:oMath>
          <m:r>
            <m:rPr>
              <m:sty m:val="p"/>
            </m:rPr>
            <w:rPr>
              <w:rFonts w:ascii="Cambria Math" w:hAnsi="Cambria Math"/>
            </w:rPr>
            <m:t>⇒[</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den>
          </m:f>
        </m:oMath>
      </m:oMathPara>
    </w:p>
    <w:p w:rsidR="00421460" w:rsidRPr="000E6C3B" w:rsidRDefault="00421460" w:rsidP="00421460">
      <w:pPr>
        <w:tabs>
          <w:tab w:val="left" w:pos="1701"/>
          <w:tab w:val="left" w:pos="1985"/>
        </w:tabs>
        <w:spacing w:after="0"/>
        <w:rPr>
          <w:rFonts w:eastAsiaTheme="minorEastAsia"/>
        </w:rPr>
      </w:pPr>
      <m:oMathPara>
        <m:oMath>
          <m:r>
            <m:rPr>
              <m:sty m:val="p"/>
            </m:rPr>
            <w:rPr>
              <w:rFonts w:ascii="Cambria Math" w:hAnsi="Cambria Math"/>
            </w:rPr>
            <m:t>pH=0 →</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r>
                <w:rPr>
                  <w:rFonts w:ascii="Cambria Math" w:hAnsi="Cambria Math"/>
                </w:rPr>
                <m:t xml:space="preserve"> </m:t>
              </m:r>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0</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e>
                  </m:d>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r>
            <m:rPr>
              <m:sty m:val="p"/>
            </m:rPr>
            <w:rPr>
              <w:rFonts w:ascii="Cambria Math" w:hAnsi="Cambria Math"/>
            </w:rPr>
            <m:t xml:space="preserve"> </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421460" w:rsidRPr="000E6C3B" w:rsidRDefault="00421460" w:rsidP="00421460">
      <w:pPr>
        <w:tabs>
          <w:tab w:val="left" w:pos="1701"/>
          <w:tab w:val="left" w:pos="1985"/>
        </w:tabs>
        <w:spacing w:after="0"/>
        <w:rPr>
          <w:rFonts w:eastAsiaTheme="minorEastAsia"/>
        </w:rPr>
      </w:pPr>
      <m:oMathPara>
        <m:oMath>
          <m:r>
            <m:rPr>
              <m:sty m:val="p"/>
            </m:rPr>
            <w:rPr>
              <w:rFonts w:ascii="Cambria Math" w:hAnsi="Cambria Math"/>
            </w:rPr>
            <m:t>pH=9 →</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-9</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e>
                  </m:d>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421460" w:rsidRPr="00146E5F" w:rsidRDefault="00421460" w:rsidP="00421460">
      <w:pPr>
        <w:tabs>
          <w:tab w:val="left" w:pos="1701"/>
          <w:tab w:val="left" w:pos="1985"/>
        </w:tabs>
        <w:ind w:left="1980" w:hanging="1980"/>
      </w:pPr>
      <w:r w:rsidRPr="00146E5F">
        <w:lastRenderedPageBreak/>
        <w:tab/>
      </w:r>
      <w:r w:rsidRPr="00146E5F">
        <w:tab/>
        <w:t xml:space="preserve">Das </w:t>
      </w:r>
      <w:r>
        <w:t>Ionen</w:t>
      </w:r>
      <w:r w:rsidRPr="00146E5F">
        <w:t>produkt berechnet sich nun über die Konzentration der S</w:t>
      </w:r>
      <w:r>
        <w:t>chwefel-Anionen und der Metall-K</w:t>
      </w:r>
      <w:r w:rsidRPr="00146E5F">
        <w:t>ationen-Konzentration.</w:t>
      </w:r>
    </w:p>
    <w:p w:rsidR="00421460" w:rsidRPr="00146E5F" w:rsidRDefault="00421460" w:rsidP="00421460">
      <w:pPr>
        <w:tabs>
          <w:tab w:val="left" w:pos="1701"/>
          <w:tab w:val="left" w:pos="1985"/>
        </w:tabs>
        <w:spacing w:after="0"/>
        <w:ind w:left="1980" w:hanging="1980"/>
      </w:pPr>
      <w:r w:rsidRPr="00146E5F">
        <w:tab/>
      </w:r>
      <w:r>
        <w:tab/>
      </w:r>
      <w:r w:rsidRPr="00146E5F">
        <w:t>Für zweiwertige Metallkationen:</w:t>
      </w:r>
    </w:p>
    <w:p w:rsidR="00421460" w:rsidRPr="00146E5F" w:rsidRDefault="00421460" w:rsidP="00421460">
      <w:pPr>
        <w:tabs>
          <w:tab w:val="left" w:pos="1701"/>
          <w:tab w:val="left" w:pos="1985"/>
        </w:tabs>
        <w:spacing w:after="0"/>
        <w:ind w:left="1980" w:hanging="1980"/>
        <w:rPr>
          <w:rFonts w:eastAsiaTheme="minorEastAsia"/>
        </w:rPr>
      </w:pPr>
      <w:r w:rsidRPr="00146E5F">
        <w:tab/>
      </w:r>
      <w:r w:rsidRPr="00146E5F">
        <w:tab/>
      </w:r>
      <m:oMath>
        <m:r>
          <m:rPr>
            <m:sty m:val="p"/>
          </m:rPr>
          <w:rPr>
            <w:rFonts w:ascii="Cambria Math" w:hAnsi="Cambria Math"/>
          </w:rPr>
          <m:t>pH=0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r w:rsidRPr="00146E5F">
        <w:tab/>
      </w:r>
    </w:p>
    <w:p w:rsidR="00421460" w:rsidRPr="00146E5F" w:rsidRDefault="00421460" w:rsidP="00421460">
      <w:pPr>
        <w:tabs>
          <w:tab w:val="left" w:pos="1701"/>
          <w:tab w:val="left" w:pos="1985"/>
        </w:tabs>
        <w:spacing w:after="0"/>
        <w:rPr>
          <w:rFonts w:eastAsiaTheme="minorEastAsia"/>
        </w:rPr>
      </w:pPr>
      <w:r w:rsidRPr="00146E5F">
        <w:rPr>
          <w:rFonts w:eastAsiaTheme="minorEastAsia"/>
        </w:rPr>
        <w:tab/>
      </w:r>
      <w:r w:rsidRPr="00146E5F">
        <w:rPr>
          <w:rFonts w:eastAsiaTheme="minorEastAsia"/>
        </w:rPr>
        <w:tab/>
      </w:r>
      <m:oMath>
        <m:r>
          <m:rPr>
            <m:sty m:val="p"/>
          </m:rPr>
          <w:rPr>
            <w:rFonts w:ascii="Cambria Math" w:hAnsi="Cambria Math"/>
          </w:rPr>
          <m:t>pH=9→</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p>
    <w:p w:rsidR="00421460" w:rsidRPr="00146E5F" w:rsidRDefault="00421460" w:rsidP="00421460">
      <w:pPr>
        <w:tabs>
          <w:tab w:val="left" w:pos="1701"/>
          <w:tab w:val="left" w:pos="1985"/>
        </w:tabs>
        <w:spacing w:after="0"/>
        <w:ind w:left="1980" w:hanging="1980"/>
      </w:pPr>
      <w:r w:rsidRPr="00146E5F">
        <w:tab/>
        <w:t>Für dreiwertige Metallkationen:</w:t>
      </w:r>
    </w:p>
    <w:p w:rsidR="00421460" w:rsidRPr="00146E5F" w:rsidRDefault="00421460" w:rsidP="00421460">
      <w:pPr>
        <w:tabs>
          <w:tab w:val="left" w:pos="1701"/>
          <w:tab w:val="left" w:pos="1985"/>
        </w:tabs>
        <w:spacing w:after="0"/>
        <w:ind w:left="1980" w:hanging="1980"/>
        <w:rPr>
          <w:rFonts w:eastAsiaTheme="minorEastAsia"/>
        </w:rPr>
      </w:pPr>
      <w:r w:rsidRPr="00146E5F">
        <w:tab/>
      </w:r>
      <w:r w:rsidRPr="00146E5F">
        <w:tab/>
      </w:r>
      <m:oMath>
        <m:r>
          <m:rPr>
            <m:sty m:val="p"/>
          </m:rPr>
          <w:rPr>
            <w:rFonts w:ascii="Cambria Math" w:hAnsi="Cambria Math"/>
          </w:rPr>
          <m:t>pH=0 →</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3</m:t>
            </m:r>
          </m:sup>
        </m:sSup>
      </m:oMath>
    </w:p>
    <w:p w:rsidR="00421460" w:rsidRPr="00146E5F" w:rsidRDefault="00421460" w:rsidP="00421460">
      <w:pPr>
        <w:tabs>
          <w:tab w:val="left" w:pos="1701"/>
          <w:tab w:val="left" w:pos="1985"/>
        </w:tabs>
        <w:spacing w:after="0"/>
        <w:ind w:left="1980" w:hanging="1980"/>
        <w:rPr>
          <w:rFonts w:eastAsiaTheme="minorEastAsia"/>
        </w:rPr>
      </w:pPr>
      <w:r w:rsidRPr="00146E5F">
        <w:rPr>
          <w:rFonts w:eastAsiaTheme="minorEastAsia"/>
        </w:rPr>
        <w:tab/>
      </w:r>
      <w:r w:rsidRPr="00146E5F">
        <w:rPr>
          <w:rFonts w:eastAsiaTheme="minorEastAsia"/>
        </w:rPr>
        <w:tab/>
      </w:r>
      <w:r w:rsidRPr="00146E5F">
        <w:rPr>
          <w:rFonts w:eastAsiaTheme="minorEastAsia"/>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r w:rsidRPr="00146E5F">
        <w:tab/>
      </w:r>
    </w:p>
    <w:p w:rsidR="00421460" w:rsidRPr="00146E5F" w:rsidRDefault="00421460" w:rsidP="00421460">
      <w:pPr>
        <w:tabs>
          <w:tab w:val="left" w:pos="1701"/>
          <w:tab w:val="left" w:pos="1985"/>
        </w:tabs>
        <w:spacing w:after="0"/>
        <w:rPr>
          <w:rFonts w:eastAsiaTheme="minorEastAsia"/>
        </w:rPr>
      </w:pPr>
      <w:r w:rsidRPr="00146E5F">
        <w:rPr>
          <w:rFonts w:eastAsiaTheme="minorEastAsia"/>
        </w:rPr>
        <w:tab/>
      </w:r>
      <w:r w:rsidRPr="00146E5F">
        <w:rPr>
          <w:rFonts w:eastAsiaTheme="minorEastAsia"/>
        </w:rPr>
        <w:tab/>
      </w:r>
      <m:oMath>
        <m:r>
          <m:rPr>
            <m:sty m:val="p"/>
          </m:rPr>
          <w:rPr>
            <w:rFonts w:ascii="Cambria Math" w:hAnsi="Cambria Math"/>
          </w:rPr>
          <m:t>pH=9→</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w:rPr>
                <w:rFonts w:ascii="Cambria Math" w:hAnsi="Cambria Math"/>
              </w:rPr>
              <m:t>3</m:t>
            </m:r>
          </m:sup>
        </m:sSup>
      </m:oMath>
    </w:p>
    <w:p w:rsidR="00421460" w:rsidRDefault="00421460" w:rsidP="00421460">
      <w:pPr>
        <w:tabs>
          <w:tab w:val="left" w:pos="1701"/>
          <w:tab w:val="left" w:pos="1985"/>
        </w:tabs>
        <w:spacing w:after="120"/>
        <w:rPr>
          <w:rFonts w:eastAsiaTheme="minorEastAsia"/>
        </w:rPr>
      </w:pPr>
      <w:r w:rsidRPr="00146E5F">
        <w:rPr>
          <w:rFonts w:eastAsiaTheme="minorEastAsia"/>
        </w:rPr>
        <w:tab/>
      </w:r>
      <w:r w:rsidRPr="00146E5F">
        <w:rPr>
          <w:rFonts w:eastAsiaTheme="minorEastAsia"/>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p>
    <w:tbl>
      <w:tblPr>
        <w:tblStyle w:val="Tabellenraster"/>
        <w:tblW w:w="0" w:type="auto"/>
        <w:tblLook w:val="04A0" w:firstRow="1" w:lastRow="0" w:firstColumn="1" w:lastColumn="0" w:noHBand="0" w:noVBand="1"/>
      </w:tblPr>
      <w:tblGrid>
        <w:gridCol w:w="1476"/>
        <w:gridCol w:w="1090"/>
        <w:gridCol w:w="1177"/>
        <w:gridCol w:w="2205"/>
        <w:gridCol w:w="1557"/>
        <w:gridCol w:w="1557"/>
      </w:tblGrid>
      <w:tr w:rsidR="00421460" w:rsidTr="00256592">
        <w:tc>
          <w:tcPr>
            <w:tcW w:w="1498" w:type="dxa"/>
            <w:vMerge w:val="restart"/>
          </w:tcPr>
          <w:p w:rsidR="00421460" w:rsidRDefault="00421460" w:rsidP="00256592">
            <w:pPr>
              <w:tabs>
                <w:tab w:val="left" w:pos="1701"/>
                <w:tab w:val="left" w:pos="1985"/>
              </w:tabs>
              <w:rPr>
                <w:rFonts w:eastAsiaTheme="minorEastAsia"/>
              </w:rPr>
            </w:pPr>
            <w:r>
              <w:rPr>
                <w:rFonts w:eastAsiaTheme="minorEastAsia"/>
              </w:rPr>
              <w:t>Metallkation</w:t>
            </w:r>
          </w:p>
        </w:tc>
        <w:tc>
          <w:tcPr>
            <w:tcW w:w="1162" w:type="dxa"/>
          </w:tcPr>
          <w:p w:rsidR="00421460" w:rsidRDefault="00421460" w:rsidP="00256592">
            <w:pPr>
              <w:tabs>
                <w:tab w:val="left" w:pos="1701"/>
                <w:tab w:val="left" w:pos="1985"/>
              </w:tabs>
              <w:rPr>
                <w:rFonts w:eastAsiaTheme="minorEastAsia"/>
              </w:rPr>
            </w:pPr>
            <w:r>
              <w:rPr>
                <w:rFonts w:eastAsiaTheme="minorEastAsia"/>
              </w:rPr>
              <w:t>Ausfall</w:t>
            </w:r>
          </w:p>
        </w:tc>
        <w:tc>
          <w:tcPr>
            <w:tcW w:w="1276" w:type="dxa"/>
          </w:tcPr>
          <w:p w:rsidR="00421460" w:rsidRDefault="00421460" w:rsidP="00256592">
            <w:pPr>
              <w:tabs>
                <w:tab w:val="left" w:pos="1701"/>
                <w:tab w:val="left" w:pos="1985"/>
              </w:tabs>
              <w:rPr>
                <w:rFonts w:eastAsiaTheme="minorEastAsia"/>
              </w:rPr>
            </w:pPr>
            <w:r>
              <w:rPr>
                <w:rFonts w:eastAsiaTheme="minorEastAsia"/>
              </w:rPr>
              <w:t xml:space="preserve">Ausfall </w:t>
            </w:r>
          </w:p>
        </w:tc>
        <w:tc>
          <w:tcPr>
            <w:tcW w:w="2238" w:type="dxa"/>
            <w:vMerge w:val="restart"/>
          </w:tcPr>
          <w:p w:rsidR="00421460" w:rsidRDefault="00421460" w:rsidP="00256592">
            <w:pPr>
              <w:tabs>
                <w:tab w:val="left" w:pos="1701"/>
                <w:tab w:val="left" w:pos="1985"/>
              </w:tabs>
              <w:rPr>
                <w:rFonts w:eastAsiaTheme="minorEastAsia"/>
              </w:rPr>
            </w:pPr>
            <w:r>
              <w:rPr>
                <w:rFonts w:eastAsiaTheme="minorEastAsia"/>
              </w:rPr>
              <w:t>Löslichkeitsprodukt</w:t>
            </w:r>
          </w:p>
        </w:tc>
        <w:tc>
          <w:tcPr>
            <w:tcW w:w="3114" w:type="dxa"/>
            <w:gridSpan w:val="2"/>
          </w:tcPr>
          <w:p w:rsidR="00421460" w:rsidRDefault="00421460" w:rsidP="00256592">
            <w:pPr>
              <w:tabs>
                <w:tab w:val="left" w:pos="1701"/>
                <w:tab w:val="left" w:pos="1985"/>
              </w:tabs>
              <w:rPr>
                <w:rFonts w:eastAsiaTheme="minorEastAsia"/>
              </w:rPr>
            </w:pPr>
            <w:r>
              <w:rPr>
                <w:rFonts w:eastAsiaTheme="minorEastAsia"/>
              </w:rPr>
              <w:t>berechnetes Ionenprodukt</w:t>
            </w:r>
          </w:p>
        </w:tc>
      </w:tr>
      <w:tr w:rsidR="00421460" w:rsidTr="00256592">
        <w:tc>
          <w:tcPr>
            <w:tcW w:w="1498" w:type="dxa"/>
            <w:vMerge/>
          </w:tcPr>
          <w:p w:rsidR="00421460" w:rsidRDefault="00421460" w:rsidP="00256592">
            <w:pPr>
              <w:tabs>
                <w:tab w:val="left" w:pos="1701"/>
                <w:tab w:val="left" w:pos="1985"/>
              </w:tabs>
              <w:rPr>
                <w:rFonts w:eastAsiaTheme="minorEastAsia"/>
              </w:rPr>
            </w:pPr>
          </w:p>
        </w:tc>
        <w:tc>
          <w:tcPr>
            <w:tcW w:w="1162" w:type="dxa"/>
          </w:tcPr>
          <w:p w:rsidR="00421460" w:rsidRDefault="00421460" w:rsidP="00256592">
            <w:pPr>
              <w:tabs>
                <w:tab w:val="left" w:pos="1701"/>
                <w:tab w:val="left" w:pos="1985"/>
              </w:tabs>
              <w:rPr>
                <w:rFonts w:eastAsiaTheme="minorEastAsia"/>
              </w:rPr>
            </w:pPr>
            <w:r>
              <w:rPr>
                <w:rFonts w:eastAsiaTheme="minorEastAsia"/>
              </w:rPr>
              <w:t>bei pH=0</w:t>
            </w:r>
          </w:p>
        </w:tc>
        <w:tc>
          <w:tcPr>
            <w:tcW w:w="1276" w:type="dxa"/>
          </w:tcPr>
          <w:p w:rsidR="00421460" w:rsidRDefault="00421460" w:rsidP="00256592">
            <w:pPr>
              <w:tabs>
                <w:tab w:val="left" w:pos="1701"/>
                <w:tab w:val="left" w:pos="1985"/>
              </w:tabs>
              <w:rPr>
                <w:rFonts w:eastAsiaTheme="minorEastAsia"/>
              </w:rPr>
            </w:pPr>
            <w:r>
              <w:rPr>
                <w:rFonts w:eastAsiaTheme="minorEastAsia"/>
              </w:rPr>
              <w:t>bei pH=9</w:t>
            </w:r>
          </w:p>
        </w:tc>
        <w:tc>
          <w:tcPr>
            <w:tcW w:w="2238" w:type="dxa"/>
            <w:vMerge/>
          </w:tcPr>
          <w:p w:rsidR="00421460" w:rsidRDefault="00421460" w:rsidP="00256592">
            <w:pPr>
              <w:tabs>
                <w:tab w:val="left" w:pos="1701"/>
                <w:tab w:val="left" w:pos="1985"/>
              </w:tabs>
              <w:rPr>
                <w:rFonts w:eastAsiaTheme="minorEastAsia"/>
              </w:rPr>
            </w:pPr>
          </w:p>
        </w:tc>
        <w:tc>
          <w:tcPr>
            <w:tcW w:w="1557" w:type="dxa"/>
          </w:tcPr>
          <w:p w:rsidR="00421460" w:rsidRDefault="00421460" w:rsidP="00256592">
            <w:pPr>
              <w:tabs>
                <w:tab w:val="left" w:pos="1701"/>
                <w:tab w:val="left" w:pos="1985"/>
              </w:tabs>
              <w:rPr>
                <w:rFonts w:eastAsiaTheme="minorEastAsia"/>
              </w:rPr>
            </w:pPr>
            <w:r>
              <w:rPr>
                <w:rFonts w:eastAsiaTheme="minorEastAsia"/>
              </w:rPr>
              <w:t>für pH=0</w:t>
            </w:r>
          </w:p>
        </w:tc>
        <w:tc>
          <w:tcPr>
            <w:tcW w:w="1557" w:type="dxa"/>
          </w:tcPr>
          <w:p w:rsidR="00421460" w:rsidRDefault="00421460" w:rsidP="00256592">
            <w:pPr>
              <w:tabs>
                <w:tab w:val="left" w:pos="1701"/>
                <w:tab w:val="left" w:pos="1985"/>
              </w:tabs>
              <w:rPr>
                <w:rFonts w:eastAsiaTheme="minorEastAsia"/>
              </w:rPr>
            </w:pPr>
            <w:r>
              <w:rPr>
                <w:rFonts w:eastAsiaTheme="minorEastAsia"/>
              </w:rPr>
              <w:t>für pH=9</w:t>
            </w:r>
          </w:p>
        </w:tc>
      </w:tr>
      <w:tr w:rsidR="00421460" w:rsidTr="00256592">
        <w:tc>
          <w:tcPr>
            <w:tcW w:w="149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oMath>
            </m:oMathPara>
          </w:p>
        </w:tc>
        <w:tc>
          <w:tcPr>
            <w:tcW w:w="1162"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1276"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2238" w:type="dxa"/>
          </w:tcPr>
          <w:p w:rsidR="00421460" w:rsidRDefault="00421460" w:rsidP="00421460">
            <w:pPr>
              <w:tabs>
                <w:tab w:val="left" w:pos="1701"/>
                <w:tab w:val="left" w:pos="1985"/>
              </w:tabs>
              <w:spacing w:after="0"/>
              <w:rPr>
                <w:rFonts w:eastAsiaTheme="minorEastAsia"/>
              </w:rPr>
            </w:pPr>
            <m:oMathPara>
              <m:oMath>
                <m:r>
                  <w:rPr>
                    <w:rFonts w:ascii="Cambria Math" w:eastAsiaTheme="minorEastAsia"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r>
      <w:tr w:rsidR="00421460" w:rsidTr="00256592">
        <w:tc>
          <w:tcPr>
            <w:tcW w:w="149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Bi</m:t>
                    </m:r>
                  </m:e>
                  <m:sup>
                    <m:r>
                      <m:rPr>
                        <m:sty m:val="p"/>
                      </m:rPr>
                      <w:rPr>
                        <w:rFonts w:ascii="Cambria Math" w:hAnsi="Cambria Math"/>
                      </w:rPr>
                      <m:t>3+</m:t>
                    </m:r>
                  </m:sup>
                </m:sSup>
              </m:oMath>
            </m:oMathPara>
          </w:p>
        </w:tc>
        <w:tc>
          <w:tcPr>
            <w:tcW w:w="1162"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1276"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223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1,6 ∙10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r>
      <w:tr w:rsidR="00421460" w:rsidTr="00256592">
        <w:tc>
          <w:tcPr>
            <w:tcW w:w="149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oMath>
            </m:oMathPara>
          </w:p>
        </w:tc>
        <w:tc>
          <w:tcPr>
            <w:tcW w:w="1162"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1276"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223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r>
      <w:tr w:rsidR="00421460" w:rsidTr="00256592">
        <w:tc>
          <w:tcPr>
            <w:tcW w:w="149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Sn</m:t>
                    </m:r>
                  </m:e>
                  <m:sup>
                    <m:r>
                      <m:rPr>
                        <m:sty m:val="p"/>
                      </m:rPr>
                      <w:rPr>
                        <w:rFonts w:ascii="Cambria Math" w:hAnsi="Cambria Math"/>
                      </w:rPr>
                      <m:t>2+</m:t>
                    </m:r>
                  </m:sup>
                </m:sSup>
              </m:oMath>
            </m:oMathPara>
          </w:p>
        </w:tc>
        <w:tc>
          <w:tcPr>
            <w:tcW w:w="1162"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1276" w:type="dxa"/>
          </w:tcPr>
          <w:p w:rsidR="00421460" w:rsidRDefault="00421460" w:rsidP="00421460">
            <w:pPr>
              <w:tabs>
                <w:tab w:val="left" w:pos="1701"/>
                <w:tab w:val="left" w:pos="1985"/>
              </w:tabs>
              <w:spacing w:after="0"/>
              <w:rPr>
                <w:rFonts w:eastAsiaTheme="minorEastAsia"/>
              </w:rPr>
            </w:pPr>
            <w:r>
              <w:rPr>
                <w:rFonts w:eastAsiaTheme="minorEastAsia"/>
              </w:rPr>
              <w:t>+</w:t>
            </w:r>
          </w:p>
        </w:tc>
        <w:tc>
          <w:tcPr>
            <w:tcW w:w="2238"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10∙10</m:t>
                    </m:r>
                  </m:e>
                  <m:sup>
                    <m:r>
                      <m:rPr>
                        <m:sty m:val="p"/>
                      </m:rPr>
                      <w:rPr>
                        <w:rFonts w:ascii="Cambria Math" w:hAnsi="Cambria Math"/>
                      </w:rPr>
                      <m:t>-26</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421460" w:rsidRDefault="00421460" w:rsidP="00421460">
            <w:pPr>
              <w:tabs>
                <w:tab w:val="left" w:pos="1701"/>
                <w:tab w:val="left" w:pos="1985"/>
              </w:tabs>
              <w:spacing w:after="0"/>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r>
    </w:tbl>
    <w:p w:rsidR="00421460" w:rsidRDefault="00421460" w:rsidP="00421460">
      <w:pPr>
        <w:tabs>
          <w:tab w:val="left" w:pos="1701"/>
          <w:tab w:val="left" w:pos="1985"/>
        </w:tabs>
        <w:spacing w:before="120"/>
      </w:pPr>
      <w:r>
        <w:t>Ist das berechnete Ionenprodukt größer, als das Löslichkeitsprodukt, ist ein Niederschlag zu erwarten. Das berechnete Ionenprodukt und der Literaturwert für das Löslichkeitsprodukt für die Bismut-Kationen-Lösung, pH=0 sind nahezu identisch. Hier kann ein Niederschlag daher nicht sicher vorausgesagt werden.</w:t>
      </w:r>
    </w:p>
    <w:p w:rsidR="00421460" w:rsidRPr="00146E5F" w:rsidRDefault="00421460" w:rsidP="00421460">
      <w:pPr>
        <w:tabs>
          <w:tab w:val="left" w:pos="1701"/>
          <w:tab w:val="left" w:pos="1985"/>
        </w:tabs>
        <w:spacing w:before="120"/>
        <w:ind w:left="1980" w:hanging="1980"/>
      </w:pPr>
      <w:r w:rsidRPr="00146E5F">
        <w:t xml:space="preserve">Entsorgung: </w:t>
      </w:r>
      <w:r w:rsidRPr="00146E5F">
        <w:tab/>
      </w:r>
      <w:r w:rsidRPr="00146E5F">
        <w:tab/>
      </w:r>
      <w:r w:rsidRPr="00146E5F">
        <w:tab/>
        <w:t xml:space="preserve">Die Entsorgung erfolgt im Abfallbehältnis für schwermetallhaltige Lösungen. </w:t>
      </w:r>
    </w:p>
    <w:p w:rsidR="00421460" w:rsidRPr="00146E5F" w:rsidRDefault="00421460" w:rsidP="00421460">
      <w:pPr>
        <w:tabs>
          <w:tab w:val="left" w:pos="1701"/>
          <w:tab w:val="left" w:pos="1985"/>
        </w:tabs>
        <w:ind w:left="1980" w:hanging="1980"/>
      </w:pPr>
      <w:r w:rsidRPr="00146E5F">
        <w:t xml:space="preserve">Literatur: </w:t>
      </w:r>
      <w:r w:rsidRPr="00146E5F">
        <w:tab/>
      </w:r>
      <w:r w:rsidRPr="00146E5F">
        <w:tab/>
      </w:r>
      <w:r w:rsidRPr="00146E5F">
        <w:tab/>
      </w:r>
      <w:r w:rsidRPr="00146E5F">
        <w:rPr>
          <w:color w:val="auto"/>
        </w:rPr>
        <w:t xml:space="preserve">R. Herbst-Irmer, Anorganisch-Chemisches Praktikum, Praktikumsskript 2013, Georg-August Universität Göttingen, S. </w:t>
      </w:r>
      <w:r w:rsidRPr="00146E5F">
        <w:t>224.</w:t>
      </w:r>
    </w:p>
    <w:p w:rsidR="00B50071" w:rsidRDefault="00421460" w:rsidP="00421460">
      <w:pPr>
        <w:tabs>
          <w:tab w:val="left" w:pos="1701"/>
          <w:tab w:val="left" w:pos="1985"/>
        </w:tabs>
        <w:ind w:left="1980" w:hanging="1980"/>
      </w:pPr>
      <w:r>
        <w:rPr>
          <w:noProof/>
          <w:lang w:eastAsia="de-DE"/>
        </w:rPr>
        <mc:AlternateContent>
          <mc:Choice Requires="wps">
            <w:drawing>
              <wp:inline distT="0" distB="0" distL="0" distR="0" wp14:anchorId="02E12BB8" wp14:editId="1356DEBB">
                <wp:extent cx="5873115" cy="1048385"/>
                <wp:effectExtent l="0" t="0" r="13335" b="18415"/>
                <wp:docPr id="1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83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1460" w:rsidRPr="002F6532" w:rsidRDefault="00421460" w:rsidP="00421460">
                            <w:pPr>
                              <w:rPr>
                                <w:bCs/>
                                <w:color w:val="auto"/>
                              </w:rPr>
                            </w:pPr>
                            <w:r>
                              <w:rPr>
                                <w:bCs/>
                                <w:color w:val="auto"/>
                              </w:rPr>
                              <w:t>Erfahrungsgemäß ist der Niederschlag, der durch die angegebenen Konzentrationen bewirkt wird, nicht zeitnah und deutlich zu sehen. Die Konzentration sollte daher etwas erhöht werden. Aufgrund der Komplexität der Auswertung dieses Versuchs eignet er sich für den Abschluss der Einheit Berechnung des Löslichkeitsproduktes über den pH-Wert.</w:t>
                            </w:r>
                          </w:p>
                        </w:txbxContent>
                      </wps:txbx>
                      <wps:bodyPr rot="0" vert="horz" wrap="square" lIns="91440" tIns="45720" rIns="91440" bIns="45720" anchor="t" anchorCtr="0" upright="1">
                        <a:noAutofit/>
                      </wps:bodyPr>
                    </wps:wsp>
                  </a:graphicData>
                </a:graphic>
              </wp:inline>
            </w:drawing>
          </mc:Choice>
          <mc:Fallback>
            <w:pict>
              <v:shape w14:anchorId="02E12BB8" id="Text Box 161" o:spid="_x0000_s1028" type="#_x0000_t202" style="width:462.45pt;height: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" fillcolor="white [3201]" strokecolor="#ed7d31 [3205]" strokeweight="1pt">
                <v:stroke dashstyle="dash"/>
                <v:shadow color="#868686"/>
                <v:textbox>
                  <w:txbxContent>
                    <w:p w:rsidR="00421460" w:rsidRPr="002F6532" w:rsidRDefault="00421460" w:rsidP="00421460">
                      <w:pPr>
                        <w:rPr>
                          <w:bCs/>
                          <w:color w:val="auto"/>
                        </w:rPr>
                      </w:pPr>
                      <w:r>
                        <w:rPr>
                          <w:bCs/>
                          <w:color w:val="auto"/>
                        </w:rPr>
                        <w:t>Erfahrungsgemäß ist der Niederschlag, der durch die angegebenen Konzentrationen bewirkt wird, nicht zeitnah und deutlich zu sehen. Die Konzentration sollte daher etwas erhöht werden. Aufgrund der Komplexität der Auswertung dieses Versuchs eignet er sich für den Abschluss der Einheit Berechnung des Löslichkeitsproduktes über den pH-Wert.</w:t>
                      </w:r>
                    </w:p>
                  </w:txbxContent>
                </v:textbox>
                <w10:anchorlock/>
              </v:shape>
            </w:pict>
          </mc:Fallback>
        </mc:AlternateContent>
      </w:r>
    </w:p>
    <w:sectPr w:rsidR="00B50071">
      <w:footerReference w:type="first" r:id="rId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799877"/>
      <w:docPartObj>
        <w:docPartGallery w:val="Page Numbers (Bottom of Page)"/>
        <w:docPartUnique/>
      </w:docPartObj>
    </w:sdtPr>
    <w:sdtEndPr/>
    <w:sdtContent>
      <w:p w:rsidR="000B0229" w:rsidRDefault="00421460">
        <w:pPr>
          <w:pStyle w:val="Fuzeile"/>
          <w:jc w:val="right"/>
        </w:pPr>
        <w:r>
          <w:fldChar w:fldCharType="begin"/>
        </w:r>
        <w:r>
          <w:instrText>PAGE   \* MERGEFORMAT</w:instrText>
        </w:r>
        <w:r>
          <w:fldChar w:fldCharType="separate"/>
        </w:r>
        <w:r>
          <w:rPr>
            <w:noProof/>
          </w:rPr>
          <w:t>1</w:t>
        </w:r>
        <w:r>
          <w:fldChar w:fldCharType="end"/>
        </w:r>
      </w:p>
    </w:sdtContent>
  </w:sdt>
  <w:p w:rsidR="000B0229" w:rsidRDefault="00421460">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51"/>
    <w:rsid w:val="00421460"/>
    <w:rsid w:val="00B50071"/>
    <w:rsid w:val="00EF56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C2D59-74F9-42ED-8C3C-A4BC21C4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46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146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2146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2146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146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146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146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146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146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146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146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146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146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146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146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146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146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146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146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1460"/>
    <w:pPr>
      <w:spacing w:line="240" w:lineRule="auto"/>
    </w:pPr>
    <w:rPr>
      <w:bCs/>
      <w:color w:val="auto"/>
      <w:sz w:val="18"/>
      <w:szCs w:val="18"/>
    </w:rPr>
  </w:style>
  <w:style w:type="paragraph" w:styleId="Fuzeile">
    <w:name w:val="footer"/>
    <w:basedOn w:val="Standard"/>
    <w:link w:val="FuzeileZchn"/>
    <w:uiPriority w:val="99"/>
    <w:unhideWhenUsed/>
    <w:rsid w:val="004214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460"/>
    <w:rPr>
      <w:rFonts w:ascii="Cambria" w:hAnsi="Cambria"/>
      <w:color w:val="171717" w:themeColor="background2" w:themeShade="1A"/>
    </w:rPr>
  </w:style>
  <w:style w:type="character" w:styleId="Hyperlink">
    <w:name w:val="Hyperlink"/>
    <w:basedOn w:val="Absatz-Standardschriftart"/>
    <w:uiPriority w:val="99"/>
    <w:unhideWhenUsed/>
    <w:rsid w:val="00421460"/>
    <w:rPr>
      <w:color w:val="0563C1" w:themeColor="hyperlink"/>
      <w:u w:val="single"/>
    </w:rPr>
  </w:style>
  <w:style w:type="table" w:styleId="Tabellenraster">
    <w:name w:val="Table Grid"/>
    <w:basedOn w:val="NormaleTabelle"/>
    <w:uiPriority w:val="59"/>
    <w:rsid w:val="0042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wikipedia.org/wiki/H-_und_P-S%C3%A4tze"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4.jpeg"/><Relationship Id="rId5" Type="http://schemas.openxmlformats.org/officeDocument/2006/relationships/hyperlink" Target="http://de.wikipedia.org/wiki/H-_und_P-S%C3%A4tze" TargetMode="Externa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2016-08-10T08:26:00Z</cp:lastPrinted>
  <dcterms:created xsi:type="dcterms:W3CDTF">2016-08-10T08:24:00Z</dcterms:created>
  <dcterms:modified xsi:type="dcterms:W3CDTF">2016-08-10T08:27:00Z</dcterms:modified>
</cp:coreProperties>
</file>