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A5" w:rsidRPr="00D603A5" w:rsidRDefault="00D603A5" w:rsidP="00D603A5">
      <w:pPr>
        <w:tabs>
          <w:tab w:val="left" w:pos="1701"/>
          <w:tab w:val="left" w:pos="1985"/>
        </w:tabs>
        <w:rPr>
          <w:b/>
          <w:sz w:val="28"/>
        </w:rPr>
      </w:pPr>
      <w:r w:rsidRPr="00D603A5">
        <w:rPr>
          <w:b/>
          <w:sz w:val="28"/>
        </w:rPr>
        <w:t>Arbeitsblatt zum Versuch: Unterscheidung Alkane und Alkene</w:t>
      </w:r>
    </w:p>
    <w:p w:rsidR="00D603A5" w:rsidRPr="00D603A5" w:rsidRDefault="00D603A5" w:rsidP="00D603A5">
      <w:pPr>
        <w:spacing w:after="0"/>
        <w:rPr>
          <w:b/>
          <w:color w:val="auto"/>
          <w:u w:val="single"/>
        </w:rPr>
      </w:pPr>
      <w:r w:rsidRPr="00D603A5">
        <w:rPr>
          <w:b/>
          <w:color w:val="auto"/>
          <w:u w:val="single"/>
        </w:rPr>
        <w:t>Aufgabe 1:</w:t>
      </w:r>
    </w:p>
    <w:p w:rsidR="00D603A5" w:rsidRPr="00D603A5" w:rsidRDefault="00D603A5" w:rsidP="00D603A5">
      <w:pPr>
        <w:spacing w:after="0"/>
        <w:rPr>
          <w:color w:val="auto"/>
        </w:rPr>
      </w:pPr>
      <w:r w:rsidRPr="00D603A5">
        <w:rPr>
          <w:color w:val="auto"/>
        </w:rPr>
        <w:t xml:space="preserve">Nenne die allgemeinen Summenformeln der Alkane und Alkene und beschreibe jeweils ihre </w:t>
      </w:r>
      <w:proofErr w:type="spellStart"/>
      <w:r w:rsidRPr="00D603A5">
        <w:rPr>
          <w:color w:val="auto"/>
        </w:rPr>
        <w:t>Molekülstrukur</w:t>
      </w:r>
      <w:proofErr w:type="spellEnd"/>
      <w:r w:rsidRPr="00D603A5">
        <w:rPr>
          <w:color w:val="auto"/>
        </w:rPr>
        <w:t xml:space="preserve"> und welche Eigenschaften sich dadurch ergeben</w:t>
      </w:r>
    </w:p>
    <w:p w:rsidR="00D603A5" w:rsidRPr="00D603A5" w:rsidRDefault="00D603A5" w:rsidP="00D603A5">
      <w:pPr>
        <w:spacing w:after="0"/>
        <w:rPr>
          <w:b/>
          <w:color w:val="auto"/>
          <w:u w:val="single"/>
        </w:rPr>
      </w:pPr>
    </w:p>
    <w:p w:rsidR="00D603A5" w:rsidRPr="00D603A5" w:rsidRDefault="00D603A5" w:rsidP="00D603A5">
      <w:pPr>
        <w:spacing w:after="0"/>
        <w:rPr>
          <w:b/>
          <w:color w:val="auto"/>
          <w:u w:val="single"/>
        </w:rPr>
      </w:pPr>
      <w:r w:rsidRPr="00D603A5">
        <w:rPr>
          <w:b/>
          <w:color w:val="auto"/>
          <w:u w:val="single"/>
        </w:rPr>
        <w:t>Aufgabe 2:</w:t>
      </w:r>
    </w:p>
    <w:p w:rsidR="00D603A5" w:rsidRPr="00D603A5" w:rsidRDefault="00D603A5" w:rsidP="00D603A5">
      <w:pPr>
        <w:spacing w:after="0"/>
        <w:rPr>
          <w:color w:val="auto"/>
        </w:rPr>
      </w:pPr>
      <w:r w:rsidRPr="00D603A5">
        <w:rPr>
          <w:color w:val="auto"/>
        </w:rPr>
        <w:t xml:space="preserve">Erkläre den Unterschied zwischen der </w:t>
      </w:r>
      <w:proofErr w:type="spellStart"/>
      <w:r w:rsidRPr="00D603A5">
        <w:rPr>
          <w:color w:val="auto"/>
        </w:rPr>
        <w:t>Bromierung</w:t>
      </w:r>
      <w:proofErr w:type="spellEnd"/>
      <w:r w:rsidRPr="00D603A5">
        <w:rPr>
          <w:color w:val="auto"/>
        </w:rPr>
        <w:t xml:space="preserve"> von Alkanen und Alkenen, indem du die untere Tabelle ausfüllst.</w:t>
      </w:r>
    </w:p>
    <w:p w:rsidR="00D603A5" w:rsidRPr="00D603A5" w:rsidRDefault="00D603A5" w:rsidP="00D603A5">
      <w:pPr>
        <w:spacing w:after="0"/>
        <w:rPr>
          <w:color w:val="auto"/>
        </w:rPr>
      </w:pPr>
    </w:p>
    <w:tbl>
      <w:tblPr>
        <w:tblStyle w:val="Tabellenraster"/>
        <w:tblW w:w="9340" w:type="dxa"/>
        <w:tblLook w:val="04A0" w:firstRow="1" w:lastRow="0" w:firstColumn="1" w:lastColumn="0" w:noHBand="0" w:noVBand="1"/>
      </w:tblPr>
      <w:tblGrid>
        <w:gridCol w:w="1392"/>
        <w:gridCol w:w="1951"/>
        <w:gridCol w:w="2036"/>
        <w:gridCol w:w="2133"/>
        <w:gridCol w:w="1828"/>
      </w:tblGrid>
      <w:tr w:rsidR="00D603A5" w:rsidRPr="00D603A5" w:rsidTr="0046283A">
        <w:trPr>
          <w:trHeight w:val="733"/>
        </w:trPr>
        <w:tc>
          <w:tcPr>
            <w:tcW w:w="1392" w:type="dxa"/>
            <w:shd w:val="clear" w:color="auto" w:fill="D9D9D9" w:themeFill="background1" w:themeFillShade="D9"/>
          </w:tcPr>
          <w:p w:rsidR="00D603A5" w:rsidRPr="00D603A5" w:rsidRDefault="00D603A5" w:rsidP="0046283A">
            <w:pPr>
              <w:jc w:val="left"/>
              <w:rPr>
                <w:color w:val="auto"/>
              </w:rPr>
            </w:pPr>
          </w:p>
        </w:tc>
        <w:tc>
          <w:tcPr>
            <w:tcW w:w="1951" w:type="dxa"/>
            <w:shd w:val="clear" w:color="auto" w:fill="D9D9D9" w:themeFill="background1" w:themeFillShade="D9"/>
            <w:vAlign w:val="center"/>
          </w:tcPr>
          <w:p w:rsidR="00D603A5" w:rsidRPr="00D603A5" w:rsidRDefault="00D603A5" w:rsidP="0046283A">
            <w:pPr>
              <w:spacing w:line="276" w:lineRule="auto"/>
              <w:jc w:val="center"/>
              <w:rPr>
                <w:b/>
                <w:color w:val="auto"/>
              </w:rPr>
            </w:pPr>
            <w:r w:rsidRPr="00D603A5">
              <w:rPr>
                <w:b/>
                <w:color w:val="auto"/>
              </w:rPr>
              <w:t xml:space="preserve">Nutzung der </w:t>
            </w:r>
            <w:proofErr w:type="spellStart"/>
            <w:r w:rsidRPr="00D603A5">
              <w:rPr>
                <w:b/>
                <w:color w:val="auto"/>
              </w:rPr>
              <w:t>Bromierung</w:t>
            </w:r>
            <w:proofErr w:type="spellEnd"/>
          </w:p>
        </w:tc>
        <w:tc>
          <w:tcPr>
            <w:tcW w:w="2036" w:type="dxa"/>
            <w:shd w:val="clear" w:color="auto" w:fill="D9D9D9" w:themeFill="background1" w:themeFillShade="D9"/>
            <w:vAlign w:val="center"/>
          </w:tcPr>
          <w:p w:rsidR="00D603A5" w:rsidRPr="00D603A5" w:rsidRDefault="00D603A5" w:rsidP="0046283A">
            <w:pPr>
              <w:jc w:val="center"/>
              <w:rPr>
                <w:b/>
                <w:color w:val="auto"/>
              </w:rPr>
            </w:pPr>
            <w:r w:rsidRPr="00D603A5">
              <w:rPr>
                <w:b/>
                <w:color w:val="auto"/>
              </w:rPr>
              <w:t>Reaktionsablauf</w:t>
            </w:r>
          </w:p>
        </w:tc>
        <w:tc>
          <w:tcPr>
            <w:tcW w:w="2133" w:type="dxa"/>
            <w:shd w:val="clear" w:color="auto" w:fill="D9D9D9" w:themeFill="background1" w:themeFillShade="D9"/>
            <w:vAlign w:val="center"/>
          </w:tcPr>
          <w:p w:rsidR="00D603A5" w:rsidRPr="00D603A5" w:rsidRDefault="00D603A5" w:rsidP="0046283A">
            <w:pPr>
              <w:jc w:val="center"/>
              <w:rPr>
                <w:b/>
                <w:color w:val="auto"/>
              </w:rPr>
            </w:pPr>
            <w:r w:rsidRPr="00D603A5">
              <w:rPr>
                <w:b/>
                <w:color w:val="auto"/>
              </w:rPr>
              <w:t>Produkte</w:t>
            </w:r>
          </w:p>
        </w:tc>
        <w:tc>
          <w:tcPr>
            <w:tcW w:w="1828" w:type="dxa"/>
            <w:shd w:val="clear" w:color="auto" w:fill="D9D9D9" w:themeFill="background1" w:themeFillShade="D9"/>
            <w:vAlign w:val="center"/>
          </w:tcPr>
          <w:p w:rsidR="00D603A5" w:rsidRPr="00D603A5" w:rsidRDefault="00D603A5" w:rsidP="0046283A">
            <w:pPr>
              <w:jc w:val="center"/>
              <w:rPr>
                <w:b/>
                <w:color w:val="auto"/>
              </w:rPr>
            </w:pPr>
            <w:r w:rsidRPr="00D603A5">
              <w:rPr>
                <w:b/>
                <w:color w:val="auto"/>
              </w:rPr>
              <w:t>Reaktionstyp</w:t>
            </w:r>
          </w:p>
        </w:tc>
      </w:tr>
      <w:tr w:rsidR="00D603A5" w:rsidRPr="00D603A5" w:rsidTr="0046283A">
        <w:trPr>
          <w:trHeight w:val="1368"/>
        </w:trPr>
        <w:tc>
          <w:tcPr>
            <w:tcW w:w="1392" w:type="dxa"/>
            <w:vAlign w:val="center"/>
          </w:tcPr>
          <w:p w:rsidR="00D603A5" w:rsidRPr="00D603A5" w:rsidRDefault="00D603A5" w:rsidP="0046283A">
            <w:pPr>
              <w:jc w:val="center"/>
              <w:rPr>
                <w:color w:val="auto"/>
              </w:rPr>
            </w:pPr>
            <w:proofErr w:type="spellStart"/>
            <w:r w:rsidRPr="00D603A5">
              <w:rPr>
                <w:color w:val="auto"/>
              </w:rPr>
              <w:t>Bromierung</w:t>
            </w:r>
            <w:proofErr w:type="spellEnd"/>
            <w:r w:rsidRPr="00D603A5">
              <w:rPr>
                <w:color w:val="auto"/>
              </w:rPr>
              <w:t xml:space="preserve"> von Hexan</w:t>
            </w:r>
          </w:p>
        </w:tc>
        <w:tc>
          <w:tcPr>
            <w:tcW w:w="1951" w:type="dxa"/>
          </w:tcPr>
          <w:p w:rsidR="00D603A5" w:rsidRPr="00D603A5" w:rsidRDefault="00D603A5" w:rsidP="0046283A">
            <w:pPr>
              <w:jc w:val="left"/>
              <w:rPr>
                <w:color w:val="auto"/>
              </w:rPr>
            </w:pPr>
          </w:p>
        </w:tc>
        <w:tc>
          <w:tcPr>
            <w:tcW w:w="2036" w:type="dxa"/>
          </w:tcPr>
          <w:p w:rsidR="00D603A5" w:rsidRPr="00D603A5" w:rsidRDefault="00D603A5" w:rsidP="0046283A">
            <w:pPr>
              <w:jc w:val="left"/>
              <w:rPr>
                <w:color w:val="auto"/>
              </w:rPr>
            </w:pPr>
          </w:p>
        </w:tc>
        <w:tc>
          <w:tcPr>
            <w:tcW w:w="2133" w:type="dxa"/>
          </w:tcPr>
          <w:p w:rsidR="00D603A5" w:rsidRPr="00D603A5" w:rsidRDefault="00D603A5" w:rsidP="0046283A">
            <w:pPr>
              <w:jc w:val="left"/>
              <w:rPr>
                <w:color w:val="auto"/>
              </w:rPr>
            </w:pPr>
          </w:p>
        </w:tc>
        <w:tc>
          <w:tcPr>
            <w:tcW w:w="1828" w:type="dxa"/>
          </w:tcPr>
          <w:p w:rsidR="00D603A5" w:rsidRPr="00D603A5" w:rsidRDefault="00D603A5" w:rsidP="0046283A">
            <w:pPr>
              <w:jc w:val="left"/>
              <w:rPr>
                <w:color w:val="auto"/>
              </w:rPr>
            </w:pPr>
          </w:p>
        </w:tc>
      </w:tr>
      <w:tr w:rsidR="00D603A5" w:rsidRPr="00D603A5" w:rsidTr="0046283A">
        <w:trPr>
          <w:trHeight w:val="1470"/>
        </w:trPr>
        <w:tc>
          <w:tcPr>
            <w:tcW w:w="1392" w:type="dxa"/>
            <w:vAlign w:val="center"/>
          </w:tcPr>
          <w:p w:rsidR="00D603A5" w:rsidRPr="00D603A5" w:rsidRDefault="00D603A5" w:rsidP="0046283A">
            <w:pPr>
              <w:jc w:val="center"/>
              <w:rPr>
                <w:color w:val="auto"/>
              </w:rPr>
            </w:pPr>
            <w:proofErr w:type="spellStart"/>
            <w:r w:rsidRPr="00D603A5">
              <w:rPr>
                <w:color w:val="auto"/>
              </w:rPr>
              <w:t>Bromierung</w:t>
            </w:r>
            <w:proofErr w:type="spellEnd"/>
            <w:r w:rsidRPr="00D603A5">
              <w:rPr>
                <w:color w:val="auto"/>
              </w:rPr>
              <w:t xml:space="preserve"> von Hexen</w:t>
            </w:r>
          </w:p>
        </w:tc>
        <w:tc>
          <w:tcPr>
            <w:tcW w:w="1951" w:type="dxa"/>
          </w:tcPr>
          <w:p w:rsidR="00D603A5" w:rsidRPr="00D603A5" w:rsidRDefault="00D603A5" w:rsidP="0046283A">
            <w:pPr>
              <w:jc w:val="left"/>
              <w:rPr>
                <w:color w:val="auto"/>
              </w:rPr>
            </w:pPr>
          </w:p>
        </w:tc>
        <w:tc>
          <w:tcPr>
            <w:tcW w:w="2036" w:type="dxa"/>
          </w:tcPr>
          <w:p w:rsidR="00D603A5" w:rsidRPr="00D603A5" w:rsidRDefault="00D603A5" w:rsidP="0046283A">
            <w:pPr>
              <w:jc w:val="left"/>
              <w:rPr>
                <w:color w:val="auto"/>
              </w:rPr>
            </w:pPr>
          </w:p>
        </w:tc>
        <w:tc>
          <w:tcPr>
            <w:tcW w:w="2133" w:type="dxa"/>
          </w:tcPr>
          <w:p w:rsidR="00D603A5" w:rsidRPr="00D603A5" w:rsidRDefault="00D603A5" w:rsidP="0046283A">
            <w:pPr>
              <w:jc w:val="left"/>
              <w:rPr>
                <w:color w:val="auto"/>
              </w:rPr>
            </w:pPr>
          </w:p>
        </w:tc>
        <w:tc>
          <w:tcPr>
            <w:tcW w:w="1828" w:type="dxa"/>
          </w:tcPr>
          <w:p w:rsidR="00D603A5" w:rsidRPr="00D603A5" w:rsidRDefault="00D603A5" w:rsidP="0046283A">
            <w:pPr>
              <w:jc w:val="left"/>
              <w:rPr>
                <w:color w:val="auto"/>
              </w:rPr>
            </w:pPr>
          </w:p>
        </w:tc>
      </w:tr>
    </w:tbl>
    <w:p w:rsidR="00D603A5" w:rsidRPr="00D603A5" w:rsidRDefault="00D603A5" w:rsidP="00D603A5">
      <w:pPr>
        <w:spacing w:after="0"/>
        <w:rPr>
          <w:color w:val="auto"/>
        </w:rPr>
      </w:pPr>
    </w:p>
    <w:p w:rsidR="00D603A5" w:rsidRPr="00D603A5" w:rsidRDefault="00D603A5" w:rsidP="00D603A5">
      <w:pPr>
        <w:spacing w:after="0"/>
        <w:rPr>
          <w:b/>
          <w:color w:val="auto"/>
          <w:u w:val="single"/>
        </w:rPr>
      </w:pPr>
      <w:r w:rsidRPr="00D603A5">
        <w:rPr>
          <w:b/>
          <w:color w:val="auto"/>
          <w:u w:val="single"/>
        </w:rPr>
        <w:t>Aufgabe 3:</w:t>
      </w:r>
    </w:p>
    <w:p w:rsidR="00D603A5" w:rsidRPr="00D603A5" w:rsidRDefault="00D603A5" w:rsidP="00D603A5">
      <w:pPr>
        <w:spacing w:after="0"/>
        <w:rPr>
          <w:color w:val="auto"/>
        </w:rPr>
      </w:pPr>
      <w:r w:rsidRPr="00D603A5">
        <w:rPr>
          <w:color w:val="auto"/>
        </w:rPr>
        <w:t xml:space="preserve">Formuliere den Reaktionsmechanismus der </w:t>
      </w:r>
      <w:proofErr w:type="spellStart"/>
      <w:r w:rsidRPr="00D603A5">
        <w:rPr>
          <w:color w:val="auto"/>
        </w:rPr>
        <w:t>elektrophilen</w:t>
      </w:r>
      <w:proofErr w:type="spellEnd"/>
      <w:r w:rsidRPr="00D603A5">
        <w:rPr>
          <w:color w:val="auto"/>
        </w:rPr>
        <w:t xml:space="preserve"> Addition von Brom mit </w:t>
      </w:r>
      <w:proofErr w:type="spellStart"/>
      <w:r w:rsidRPr="00D603A5">
        <w:rPr>
          <w:color w:val="auto"/>
        </w:rPr>
        <w:t>Cyclohexen</w:t>
      </w:r>
      <w:proofErr w:type="spellEnd"/>
      <w:r w:rsidRPr="00D603A5">
        <w:rPr>
          <w:color w:val="auto"/>
        </w:rPr>
        <w:t xml:space="preserve"> in der </w:t>
      </w:r>
      <w:proofErr w:type="spellStart"/>
      <w:r w:rsidRPr="00D603A5">
        <w:rPr>
          <w:color w:val="auto"/>
        </w:rPr>
        <w:t>Lewisschreibweise</w:t>
      </w:r>
      <w:proofErr w:type="spellEnd"/>
      <w:r w:rsidRPr="00D603A5">
        <w:rPr>
          <w:color w:val="auto"/>
        </w:rPr>
        <w:t>.</w:t>
      </w:r>
    </w:p>
    <w:tbl>
      <w:tblPr>
        <w:tblStyle w:val="Tabellenraster"/>
        <w:tblW w:w="0" w:type="auto"/>
        <w:tblLook w:val="04A0" w:firstRow="1" w:lastRow="0" w:firstColumn="1" w:lastColumn="0" w:noHBand="0" w:noVBand="1"/>
      </w:tblPr>
      <w:tblGrid>
        <w:gridCol w:w="9062"/>
      </w:tblGrid>
      <w:tr w:rsidR="00D603A5" w:rsidRPr="00D603A5" w:rsidTr="0046283A">
        <w:trPr>
          <w:trHeight w:val="3842"/>
        </w:trPr>
        <w:tc>
          <w:tcPr>
            <w:tcW w:w="9262" w:type="dxa"/>
          </w:tcPr>
          <w:p w:rsidR="00D603A5" w:rsidRPr="00D603A5" w:rsidRDefault="00D603A5" w:rsidP="0046283A">
            <w:pPr>
              <w:rPr>
                <w:color w:val="auto"/>
              </w:rPr>
            </w:pPr>
          </w:p>
        </w:tc>
      </w:tr>
    </w:tbl>
    <w:p w:rsidR="00D603A5" w:rsidRPr="00D603A5" w:rsidRDefault="00D603A5" w:rsidP="00D603A5">
      <w:pPr>
        <w:spacing w:after="0"/>
        <w:rPr>
          <w:color w:val="auto"/>
        </w:rPr>
      </w:pPr>
    </w:p>
    <w:p w:rsidR="00D603A5" w:rsidRPr="00D603A5" w:rsidRDefault="00D603A5" w:rsidP="00D603A5">
      <w:pPr>
        <w:spacing w:after="0"/>
        <w:rPr>
          <w:b/>
          <w:color w:val="auto"/>
          <w:u w:val="single"/>
        </w:rPr>
        <w:sectPr w:rsidR="00D603A5" w:rsidRPr="00D603A5" w:rsidSect="008F5EAD">
          <w:headerReference w:type="default" r:id="rId5"/>
          <w:pgSz w:w="11906" w:h="16838"/>
          <w:pgMar w:top="1417" w:right="1417" w:bottom="709" w:left="1417" w:header="708" w:footer="708" w:gutter="0"/>
          <w:cols w:space="708"/>
          <w:titlePg/>
          <w:docGrid w:linePitch="360"/>
        </w:sectPr>
      </w:pPr>
    </w:p>
    <w:p w:rsidR="00D603A5" w:rsidRPr="00D603A5" w:rsidRDefault="00D603A5" w:rsidP="00D603A5">
      <w:pPr>
        <w:pStyle w:val="berschrift1"/>
        <w:rPr>
          <w:rFonts w:ascii="Cambria" w:hAnsi="Cambria"/>
          <w:color w:val="auto"/>
        </w:rPr>
      </w:pPr>
      <w:bookmarkStart w:id="0" w:name="_Toc458586764"/>
      <w:r w:rsidRPr="00D603A5">
        <w:rPr>
          <w:rFonts w:ascii="Cambria" w:hAnsi="Cambria"/>
          <w:color w:val="auto"/>
        </w:rPr>
        <w:lastRenderedPageBreak/>
        <w:t>Didaktischer Kommentar zum Schülerarbeitsblatt</w:t>
      </w:r>
      <w:bookmarkEnd w:id="0"/>
    </w:p>
    <w:p w:rsidR="00D603A5" w:rsidRPr="00D603A5" w:rsidRDefault="00D603A5" w:rsidP="00D603A5">
      <w:r w:rsidRPr="00D603A5">
        <w:t xml:space="preserve">Mit Hilfe dieses Arbeitsblattes sollen die Eigenschaften und die Reaktivität von Alkanen und Alkenen unterschieden werden. Außerdem sollen die bereits kennengelernten Reaktionsmechanismen der </w:t>
      </w:r>
      <w:proofErr w:type="spellStart"/>
      <w:r w:rsidRPr="00D603A5">
        <w:rPr>
          <w:i/>
        </w:rPr>
        <w:t>radikalische</w:t>
      </w:r>
      <w:proofErr w:type="spellEnd"/>
      <w:r w:rsidRPr="00D603A5">
        <w:rPr>
          <w:i/>
        </w:rPr>
        <w:t xml:space="preserve"> Substitution</w:t>
      </w:r>
      <w:r w:rsidRPr="00D603A5">
        <w:t xml:space="preserve"> und </w:t>
      </w:r>
      <w:proofErr w:type="spellStart"/>
      <w:r w:rsidRPr="00D603A5">
        <w:rPr>
          <w:i/>
        </w:rPr>
        <w:t>elektrophile</w:t>
      </w:r>
      <w:proofErr w:type="spellEnd"/>
      <w:r w:rsidRPr="00D603A5">
        <w:rPr>
          <w:i/>
        </w:rPr>
        <w:t xml:space="preserve"> Addition</w:t>
      </w:r>
      <w:r w:rsidRPr="00D603A5">
        <w:t xml:space="preserve"> differenziert werden. </w:t>
      </w:r>
    </w:p>
    <w:p w:rsidR="00D603A5" w:rsidRPr="00D603A5" w:rsidRDefault="00D603A5" w:rsidP="00D603A5">
      <w:pPr>
        <w:pStyle w:val="berschrift2"/>
        <w:rPr>
          <w:rFonts w:ascii="Cambria" w:hAnsi="Cambria"/>
          <w:color w:val="auto"/>
        </w:rPr>
      </w:pPr>
      <w:bookmarkStart w:id="1" w:name="_Toc458586765"/>
      <w:r w:rsidRPr="00D603A5">
        <w:rPr>
          <w:rFonts w:ascii="Cambria" w:hAnsi="Cambria"/>
          <w:color w:val="auto"/>
        </w:rPr>
        <w:t>Erwartungshorizont (Kerncurriculum)</w:t>
      </w:r>
      <w:bookmarkEnd w:id="1"/>
    </w:p>
    <w:p w:rsidR="00D603A5" w:rsidRPr="00D603A5" w:rsidRDefault="00D603A5" w:rsidP="00D603A5">
      <w:pPr>
        <w:tabs>
          <w:tab w:val="left" w:pos="0"/>
        </w:tabs>
        <w:rPr>
          <w:color w:val="auto"/>
        </w:rPr>
      </w:pPr>
      <w:r w:rsidRPr="00D603A5">
        <w:rPr>
          <w:color w:val="auto"/>
        </w:rPr>
        <w:t xml:space="preserve">Das Kerncurriculum gibt vor, dass die </w:t>
      </w:r>
      <w:proofErr w:type="spellStart"/>
      <w:r w:rsidRPr="00D603A5">
        <w:rPr>
          <w:color w:val="auto"/>
        </w:rPr>
        <w:t>SuS</w:t>
      </w:r>
      <w:proofErr w:type="spellEnd"/>
      <w:r w:rsidRPr="00D603A5">
        <w:rPr>
          <w:color w:val="auto"/>
        </w:rPr>
        <w:t xml:space="preserve"> den Reaktionsmechanismus der </w:t>
      </w:r>
      <w:proofErr w:type="spellStart"/>
      <w:r w:rsidRPr="00D603A5">
        <w:rPr>
          <w:color w:val="auto"/>
        </w:rPr>
        <w:t>radikalischen</w:t>
      </w:r>
      <w:proofErr w:type="spellEnd"/>
      <w:r w:rsidRPr="00D603A5">
        <w:rPr>
          <w:color w:val="auto"/>
        </w:rPr>
        <w:t xml:space="preserve"> Substitution und den der </w:t>
      </w:r>
      <w:proofErr w:type="spellStart"/>
      <w:r w:rsidRPr="00D603A5">
        <w:rPr>
          <w:color w:val="auto"/>
        </w:rPr>
        <w:t>elektrophilen</w:t>
      </w:r>
      <w:proofErr w:type="spellEnd"/>
      <w:r w:rsidRPr="00D603A5">
        <w:rPr>
          <w:color w:val="auto"/>
        </w:rPr>
        <w:t xml:space="preserve"> Addition von symmetrischen Verbindungen beschreiben können. Da die </w:t>
      </w:r>
      <w:proofErr w:type="spellStart"/>
      <w:r w:rsidRPr="00D603A5">
        <w:rPr>
          <w:color w:val="auto"/>
        </w:rPr>
        <w:t>SuS</w:t>
      </w:r>
      <w:proofErr w:type="spellEnd"/>
      <w:r w:rsidRPr="00D603A5">
        <w:rPr>
          <w:color w:val="auto"/>
        </w:rPr>
        <w:t xml:space="preserve"> beide Reaktionen mit Brom kennengelernt haben, bietet es sich an diese </w:t>
      </w:r>
      <w:bookmarkStart w:id="2" w:name="_GoBack"/>
      <w:bookmarkEnd w:id="2"/>
      <w:r w:rsidRPr="00D603A5">
        <w:rPr>
          <w:color w:val="auto"/>
        </w:rPr>
        <w:t xml:space="preserve">miteinander zu vergleichen. Aufgabe 1 entspricht dem Anforderungsbereich I. Es geht darum Wissen zu reproduzieren und die einfache Unterscheidung von Alkanen und Alkenen zu treffen. Außerdem geht es um grundlegende Unterschiede in der Molekülstruktur, da das Kerncurriculum auch hier die Beschreibung von Molekülstrukturen von Stoffklassen explizit vorgibt. Aufgabe 2 soll den Anforderungsbereich II bedienen. Sie </w:t>
      </w:r>
      <w:proofErr w:type="spellStart"/>
      <w:r w:rsidRPr="00D603A5">
        <w:rPr>
          <w:color w:val="auto"/>
        </w:rPr>
        <w:t>SuS</w:t>
      </w:r>
      <w:proofErr w:type="spellEnd"/>
      <w:r w:rsidRPr="00D603A5">
        <w:rPr>
          <w:color w:val="auto"/>
        </w:rPr>
        <w:t xml:space="preserve"> erklären die wesentlichen Unterschiede einer </w:t>
      </w:r>
      <w:proofErr w:type="spellStart"/>
      <w:r w:rsidRPr="00D603A5">
        <w:rPr>
          <w:color w:val="auto"/>
        </w:rPr>
        <w:t>Bromierung</w:t>
      </w:r>
      <w:proofErr w:type="spellEnd"/>
      <w:r w:rsidRPr="00D603A5">
        <w:rPr>
          <w:color w:val="auto"/>
        </w:rPr>
        <w:t xml:space="preserve"> von einem Alkan und einer </w:t>
      </w:r>
      <w:proofErr w:type="spellStart"/>
      <w:r w:rsidRPr="00D603A5">
        <w:rPr>
          <w:color w:val="auto"/>
        </w:rPr>
        <w:t>Bromierung</w:t>
      </w:r>
      <w:proofErr w:type="spellEnd"/>
      <w:r w:rsidRPr="00D603A5">
        <w:rPr>
          <w:color w:val="auto"/>
        </w:rPr>
        <w:t xml:space="preserve"> von einem </w:t>
      </w:r>
      <w:proofErr w:type="spellStart"/>
      <w:r w:rsidRPr="00D603A5">
        <w:rPr>
          <w:color w:val="auto"/>
        </w:rPr>
        <w:t>Alken</w:t>
      </w:r>
      <w:proofErr w:type="spellEnd"/>
      <w:r w:rsidRPr="00D603A5">
        <w:rPr>
          <w:color w:val="auto"/>
        </w:rPr>
        <w:t xml:space="preserve">. Dazu füllen sie eine vorbereitete Tabelle aus. Sie treffen Aussagen über den generellen Nutzen der </w:t>
      </w:r>
      <w:proofErr w:type="spellStart"/>
      <w:r w:rsidRPr="00D603A5">
        <w:rPr>
          <w:color w:val="auto"/>
        </w:rPr>
        <w:t>Bromierung</w:t>
      </w:r>
      <w:proofErr w:type="spellEnd"/>
      <w:r w:rsidRPr="00D603A5">
        <w:rPr>
          <w:color w:val="auto"/>
        </w:rPr>
        <w:t xml:space="preserve">, über den Reaktionsablauf, über die entstehenden Produkte und die Reaktionstypen. Aufgabe 3 entspricht dem Anforderungsbereich III. Hier sollen sie den detaillierten Reaktionsmechanismus der </w:t>
      </w:r>
      <w:proofErr w:type="spellStart"/>
      <w:r w:rsidRPr="00D603A5">
        <w:rPr>
          <w:color w:val="auto"/>
        </w:rPr>
        <w:t>elektrophilen</w:t>
      </w:r>
      <w:proofErr w:type="spellEnd"/>
      <w:r w:rsidRPr="00D603A5">
        <w:rPr>
          <w:color w:val="auto"/>
        </w:rPr>
        <w:t xml:space="preserve"> Addition aufzeichnen. Hierzu müssen sie die Begriffe </w:t>
      </w:r>
      <w:proofErr w:type="spellStart"/>
      <w:r w:rsidRPr="00D603A5">
        <w:rPr>
          <w:color w:val="auto"/>
        </w:rPr>
        <w:t>radikalische</w:t>
      </w:r>
      <w:proofErr w:type="spellEnd"/>
      <w:r w:rsidRPr="00D603A5">
        <w:rPr>
          <w:color w:val="auto"/>
        </w:rPr>
        <w:t xml:space="preserve">, </w:t>
      </w:r>
      <w:proofErr w:type="spellStart"/>
      <w:r w:rsidRPr="00D603A5">
        <w:rPr>
          <w:color w:val="auto"/>
        </w:rPr>
        <w:t>elektrophile</w:t>
      </w:r>
      <w:proofErr w:type="spellEnd"/>
      <w:r w:rsidRPr="00D603A5">
        <w:rPr>
          <w:color w:val="auto"/>
        </w:rPr>
        <w:t xml:space="preserve"> und </w:t>
      </w:r>
      <w:proofErr w:type="spellStart"/>
      <w:r w:rsidRPr="00D603A5">
        <w:rPr>
          <w:color w:val="auto"/>
        </w:rPr>
        <w:t>nucleophile</w:t>
      </w:r>
      <w:proofErr w:type="spellEnd"/>
      <w:r w:rsidRPr="00D603A5">
        <w:rPr>
          <w:color w:val="auto"/>
        </w:rPr>
        <w:t xml:space="preserve"> Teilchen unterscheiden. Ohne den Mechanismus ist ein tiefgreifendes Verständnis der Abläufe nicht gewährleistet. Im Hinblick auf das Abitur handelt es sich auch eine gute Vorbereitung, da das Kerncurriculum diesen Reaktionstyp voraussetzt.</w:t>
      </w:r>
    </w:p>
    <w:p w:rsidR="00D603A5" w:rsidRPr="00D603A5" w:rsidRDefault="00D603A5" w:rsidP="00D603A5">
      <w:pPr>
        <w:pStyle w:val="berschrift2"/>
        <w:rPr>
          <w:rFonts w:ascii="Cambria" w:hAnsi="Cambria"/>
          <w:color w:val="auto"/>
        </w:rPr>
      </w:pPr>
      <w:bookmarkStart w:id="3" w:name="_Toc458586766"/>
      <w:r w:rsidRPr="00D603A5">
        <w:rPr>
          <w:rFonts w:ascii="Cambria" w:hAnsi="Cambria"/>
          <w:color w:val="auto"/>
        </w:rPr>
        <w:t>Erwartungshorizont (inhaltlich)</w:t>
      </w:r>
      <w:bookmarkEnd w:id="3"/>
    </w:p>
    <w:p w:rsidR="00D603A5" w:rsidRPr="00D603A5" w:rsidRDefault="00D603A5" w:rsidP="00D603A5">
      <w:pPr>
        <w:spacing w:after="0"/>
        <w:rPr>
          <w:b/>
          <w:color w:val="auto"/>
          <w:u w:val="single"/>
        </w:rPr>
      </w:pPr>
      <w:r w:rsidRPr="00D603A5">
        <w:rPr>
          <w:b/>
          <w:color w:val="auto"/>
          <w:u w:val="single"/>
        </w:rPr>
        <w:t>Aufgabe 1:</w:t>
      </w:r>
    </w:p>
    <w:p w:rsidR="00D603A5" w:rsidRPr="00D603A5" w:rsidRDefault="00D603A5" w:rsidP="00D603A5">
      <w:pPr>
        <w:spacing w:after="0"/>
        <w:rPr>
          <w:color w:val="auto"/>
        </w:rPr>
      </w:pPr>
      <w:r w:rsidRPr="00D603A5">
        <w:rPr>
          <w:color w:val="auto"/>
        </w:rPr>
        <w:t xml:space="preserve">Die allgemeine Summenformel der Alkane ist </w:t>
      </w:r>
      <m:oMath>
        <m:sSub>
          <m:sSubPr>
            <m:ctrlPr>
              <w:rPr>
                <w:rFonts w:ascii="Cambria Math" w:hAnsi="Cambria Math"/>
                <w:color w:val="auto"/>
              </w:rPr>
            </m:ctrlPr>
          </m:sSubPr>
          <m:e>
            <m:r>
              <m:rPr>
                <m:sty m:val="p"/>
              </m:rPr>
              <w:rPr>
                <w:rFonts w:ascii="Cambria Math" w:hAnsi="Cambria Math"/>
                <w:color w:val="auto"/>
              </w:rPr>
              <m:t>C</m:t>
            </m:r>
          </m:e>
          <m:sub>
            <m:r>
              <m:rPr>
                <m:sty m:val="p"/>
              </m:rPr>
              <w:rPr>
                <w:rFonts w:ascii="Cambria Math" w:hAnsi="Cambria Math"/>
                <w:color w:val="auto"/>
              </w:rPr>
              <m:t>n</m:t>
            </m:r>
          </m:sub>
        </m:sSub>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2n+2</m:t>
            </m:r>
          </m:sub>
        </m:sSub>
      </m:oMath>
      <w:r w:rsidRPr="00D603A5">
        <w:rPr>
          <w:rFonts w:eastAsiaTheme="minorEastAsia"/>
          <w:color w:val="auto"/>
        </w:rPr>
        <w:t xml:space="preserve"> und für die Alkene </w:t>
      </w:r>
      <m:oMath>
        <m:sSub>
          <m:sSubPr>
            <m:ctrlPr>
              <w:rPr>
                <w:rFonts w:ascii="Cambria Math" w:hAnsi="Cambria Math"/>
                <w:color w:val="auto"/>
              </w:rPr>
            </m:ctrlPr>
          </m:sSubPr>
          <m:e>
            <m:r>
              <m:rPr>
                <m:sty m:val="p"/>
              </m:rPr>
              <w:rPr>
                <w:rFonts w:ascii="Cambria Math" w:hAnsi="Cambria Math"/>
                <w:color w:val="auto"/>
              </w:rPr>
              <m:t>C</m:t>
            </m:r>
          </m:e>
          <m:sub>
            <m:r>
              <m:rPr>
                <m:sty m:val="p"/>
              </m:rPr>
              <w:rPr>
                <w:rFonts w:ascii="Cambria Math" w:hAnsi="Cambria Math"/>
                <w:color w:val="auto"/>
              </w:rPr>
              <m:t>n</m:t>
            </m:r>
          </m:sub>
        </m:sSub>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2n</m:t>
            </m:r>
          </m:sub>
        </m:sSub>
      </m:oMath>
      <w:r w:rsidRPr="00D603A5">
        <w:rPr>
          <w:rFonts w:eastAsiaTheme="minorEastAsia"/>
          <w:color w:val="auto"/>
        </w:rPr>
        <w:t>. Alkane haben nur C-C-Einfachbindungen und sind relativ reaktionsträge. Alkene weisen mindestens eine C-C-Doppelbindung auf. Durch die hohe Elektronendichte an der Doppelbindung, sind Alkene sehr reaktiv und dadurch für viele Synthesen interessant.</w:t>
      </w:r>
    </w:p>
    <w:p w:rsidR="00D603A5" w:rsidRPr="00D603A5" w:rsidRDefault="00D603A5" w:rsidP="00D603A5">
      <w:pPr>
        <w:spacing w:after="0"/>
        <w:rPr>
          <w:color w:val="auto"/>
        </w:rPr>
      </w:pPr>
    </w:p>
    <w:p w:rsidR="00D603A5" w:rsidRPr="00D603A5" w:rsidRDefault="00D603A5" w:rsidP="00D603A5">
      <w:pPr>
        <w:spacing w:after="0"/>
        <w:rPr>
          <w:color w:val="auto"/>
        </w:rPr>
      </w:pPr>
    </w:p>
    <w:p w:rsidR="00D603A5" w:rsidRPr="00D603A5" w:rsidRDefault="00D603A5" w:rsidP="00D603A5">
      <w:pPr>
        <w:spacing w:after="0"/>
        <w:rPr>
          <w:color w:val="auto"/>
        </w:rPr>
      </w:pPr>
    </w:p>
    <w:p w:rsidR="00D603A5" w:rsidRPr="00D603A5" w:rsidRDefault="00D603A5" w:rsidP="00D603A5">
      <w:pPr>
        <w:spacing w:after="0"/>
        <w:rPr>
          <w:color w:val="auto"/>
        </w:rPr>
      </w:pPr>
    </w:p>
    <w:p w:rsidR="00D603A5" w:rsidRPr="00D603A5" w:rsidRDefault="00D603A5" w:rsidP="00D603A5">
      <w:pPr>
        <w:spacing w:after="0"/>
        <w:rPr>
          <w:color w:val="auto"/>
        </w:rPr>
      </w:pPr>
    </w:p>
    <w:p w:rsidR="00D603A5" w:rsidRPr="00D603A5" w:rsidRDefault="00D603A5" w:rsidP="00D603A5">
      <w:pPr>
        <w:spacing w:after="0"/>
        <w:jc w:val="left"/>
        <w:rPr>
          <w:color w:val="auto"/>
        </w:rPr>
      </w:pPr>
    </w:p>
    <w:p w:rsidR="00D603A5" w:rsidRPr="00D603A5" w:rsidRDefault="00D603A5" w:rsidP="00D603A5">
      <w:pPr>
        <w:spacing w:after="0"/>
        <w:rPr>
          <w:b/>
          <w:color w:val="auto"/>
          <w:u w:val="single"/>
        </w:rPr>
      </w:pPr>
      <w:r w:rsidRPr="00D603A5">
        <w:rPr>
          <w:b/>
          <w:color w:val="auto"/>
          <w:u w:val="single"/>
        </w:rPr>
        <w:lastRenderedPageBreak/>
        <w:t>Aufgabe 2:</w:t>
      </w:r>
    </w:p>
    <w:tbl>
      <w:tblPr>
        <w:tblStyle w:val="Tabellenraster"/>
        <w:tblW w:w="0" w:type="auto"/>
        <w:tblLook w:val="04A0" w:firstRow="1" w:lastRow="0" w:firstColumn="1" w:lastColumn="0" w:noHBand="0" w:noVBand="1"/>
      </w:tblPr>
      <w:tblGrid>
        <w:gridCol w:w="1371"/>
        <w:gridCol w:w="1945"/>
        <w:gridCol w:w="1961"/>
        <w:gridCol w:w="2079"/>
        <w:gridCol w:w="1706"/>
      </w:tblGrid>
      <w:tr w:rsidR="00D603A5" w:rsidRPr="00D603A5" w:rsidTr="0046283A">
        <w:tc>
          <w:tcPr>
            <w:tcW w:w="1384" w:type="dxa"/>
            <w:shd w:val="clear" w:color="auto" w:fill="D9D9D9" w:themeFill="background1" w:themeFillShade="D9"/>
          </w:tcPr>
          <w:p w:rsidR="00D603A5" w:rsidRPr="00D603A5" w:rsidRDefault="00D603A5" w:rsidP="0046283A">
            <w:pPr>
              <w:jc w:val="left"/>
              <w:rPr>
                <w:color w:val="auto"/>
              </w:rPr>
            </w:pPr>
          </w:p>
        </w:tc>
        <w:tc>
          <w:tcPr>
            <w:tcW w:w="1940" w:type="dxa"/>
            <w:shd w:val="clear" w:color="auto" w:fill="D9D9D9" w:themeFill="background1" w:themeFillShade="D9"/>
            <w:vAlign w:val="center"/>
          </w:tcPr>
          <w:p w:rsidR="00D603A5" w:rsidRPr="00D603A5" w:rsidRDefault="00D603A5" w:rsidP="0046283A">
            <w:pPr>
              <w:spacing w:line="276" w:lineRule="auto"/>
              <w:jc w:val="center"/>
              <w:rPr>
                <w:b/>
                <w:color w:val="auto"/>
              </w:rPr>
            </w:pPr>
            <w:r w:rsidRPr="00D603A5">
              <w:rPr>
                <w:b/>
                <w:color w:val="auto"/>
              </w:rPr>
              <w:t xml:space="preserve">Nutzung der </w:t>
            </w:r>
            <w:proofErr w:type="spellStart"/>
            <w:r w:rsidRPr="00D603A5">
              <w:rPr>
                <w:b/>
                <w:color w:val="auto"/>
              </w:rPr>
              <w:t>Bromierung</w:t>
            </w:r>
            <w:proofErr w:type="spellEnd"/>
          </w:p>
        </w:tc>
        <w:tc>
          <w:tcPr>
            <w:tcW w:w="2025" w:type="dxa"/>
            <w:shd w:val="clear" w:color="auto" w:fill="D9D9D9" w:themeFill="background1" w:themeFillShade="D9"/>
            <w:vAlign w:val="center"/>
          </w:tcPr>
          <w:p w:rsidR="00D603A5" w:rsidRPr="00D603A5" w:rsidRDefault="00D603A5" w:rsidP="0046283A">
            <w:pPr>
              <w:jc w:val="center"/>
              <w:rPr>
                <w:b/>
                <w:color w:val="auto"/>
              </w:rPr>
            </w:pPr>
            <w:r w:rsidRPr="00D603A5">
              <w:rPr>
                <w:b/>
                <w:color w:val="auto"/>
              </w:rPr>
              <w:t>Reaktionsablauf</w:t>
            </w:r>
          </w:p>
        </w:tc>
        <w:tc>
          <w:tcPr>
            <w:tcW w:w="2121" w:type="dxa"/>
            <w:shd w:val="clear" w:color="auto" w:fill="D9D9D9" w:themeFill="background1" w:themeFillShade="D9"/>
            <w:vAlign w:val="center"/>
          </w:tcPr>
          <w:p w:rsidR="00D603A5" w:rsidRPr="00D603A5" w:rsidRDefault="00D603A5" w:rsidP="0046283A">
            <w:pPr>
              <w:jc w:val="center"/>
              <w:rPr>
                <w:b/>
                <w:color w:val="auto"/>
              </w:rPr>
            </w:pPr>
            <w:r w:rsidRPr="00D603A5">
              <w:rPr>
                <w:b/>
                <w:color w:val="auto"/>
              </w:rPr>
              <w:t>Produkte</w:t>
            </w:r>
          </w:p>
        </w:tc>
        <w:tc>
          <w:tcPr>
            <w:tcW w:w="1818" w:type="dxa"/>
            <w:shd w:val="clear" w:color="auto" w:fill="D9D9D9" w:themeFill="background1" w:themeFillShade="D9"/>
            <w:vAlign w:val="center"/>
          </w:tcPr>
          <w:p w:rsidR="00D603A5" w:rsidRPr="00D603A5" w:rsidRDefault="00D603A5" w:rsidP="0046283A">
            <w:pPr>
              <w:jc w:val="center"/>
              <w:rPr>
                <w:b/>
                <w:color w:val="auto"/>
              </w:rPr>
            </w:pPr>
            <w:r w:rsidRPr="00D603A5">
              <w:rPr>
                <w:b/>
                <w:color w:val="auto"/>
              </w:rPr>
              <w:t>Reaktionstyp</w:t>
            </w:r>
          </w:p>
        </w:tc>
      </w:tr>
      <w:tr w:rsidR="00D603A5" w:rsidRPr="00D603A5" w:rsidTr="0046283A">
        <w:tc>
          <w:tcPr>
            <w:tcW w:w="1384" w:type="dxa"/>
            <w:vAlign w:val="center"/>
          </w:tcPr>
          <w:p w:rsidR="00D603A5" w:rsidRPr="00D603A5" w:rsidRDefault="00D603A5" w:rsidP="0046283A">
            <w:pPr>
              <w:jc w:val="center"/>
              <w:rPr>
                <w:color w:val="auto"/>
              </w:rPr>
            </w:pPr>
            <w:proofErr w:type="spellStart"/>
            <w:r w:rsidRPr="00D603A5">
              <w:rPr>
                <w:color w:val="auto"/>
              </w:rPr>
              <w:t>Bromierung</w:t>
            </w:r>
            <w:proofErr w:type="spellEnd"/>
            <w:r w:rsidRPr="00D603A5">
              <w:rPr>
                <w:color w:val="auto"/>
              </w:rPr>
              <w:t xml:space="preserve"> von Hexan</w:t>
            </w:r>
          </w:p>
        </w:tc>
        <w:tc>
          <w:tcPr>
            <w:tcW w:w="1940" w:type="dxa"/>
          </w:tcPr>
          <w:p w:rsidR="00D603A5" w:rsidRPr="00D603A5" w:rsidRDefault="00D603A5" w:rsidP="0046283A">
            <w:pPr>
              <w:jc w:val="left"/>
              <w:rPr>
                <w:color w:val="auto"/>
              </w:rPr>
            </w:pPr>
            <w:r w:rsidRPr="00D603A5">
              <w:rPr>
                <w:color w:val="auto"/>
              </w:rPr>
              <w:t xml:space="preserve">Zur Herstellung eines </w:t>
            </w:r>
            <w:proofErr w:type="spellStart"/>
            <w:r w:rsidRPr="00D603A5">
              <w:rPr>
                <w:color w:val="auto"/>
              </w:rPr>
              <w:t>Halogenalkans</w:t>
            </w:r>
            <w:proofErr w:type="spellEnd"/>
            <w:r w:rsidRPr="00D603A5">
              <w:rPr>
                <w:color w:val="auto"/>
              </w:rPr>
              <w:t>.</w:t>
            </w:r>
          </w:p>
        </w:tc>
        <w:tc>
          <w:tcPr>
            <w:tcW w:w="2025" w:type="dxa"/>
          </w:tcPr>
          <w:p w:rsidR="00D603A5" w:rsidRPr="00D603A5" w:rsidRDefault="00D603A5" w:rsidP="0046283A">
            <w:pPr>
              <w:jc w:val="left"/>
              <w:rPr>
                <w:color w:val="auto"/>
              </w:rPr>
            </w:pPr>
            <w:r w:rsidRPr="00D603A5">
              <w:rPr>
                <w:color w:val="auto"/>
              </w:rPr>
              <w:t xml:space="preserve">Einsetzen der Reaktion erst nach Energiezufuhr (Belichten); </w:t>
            </w:r>
            <w:proofErr w:type="spellStart"/>
            <w:r w:rsidRPr="00D603A5">
              <w:rPr>
                <w:color w:val="auto"/>
              </w:rPr>
              <w:t>vergleichseise</w:t>
            </w:r>
            <w:proofErr w:type="spellEnd"/>
            <w:r w:rsidRPr="00D603A5">
              <w:rPr>
                <w:color w:val="auto"/>
              </w:rPr>
              <w:t xml:space="preserve"> langsame Reaktion</w:t>
            </w:r>
          </w:p>
        </w:tc>
        <w:tc>
          <w:tcPr>
            <w:tcW w:w="2121" w:type="dxa"/>
          </w:tcPr>
          <w:p w:rsidR="00D603A5" w:rsidRPr="00D603A5" w:rsidRDefault="00D603A5" w:rsidP="0046283A">
            <w:pPr>
              <w:jc w:val="left"/>
              <w:rPr>
                <w:color w:val="auto"/>
              </w:rPr>
            </w:pPr>
            <w:r w:rsidRPr="00D603A5">
              <w:rPr>
                <w:color w:val="auto"/>
              </w:rPr>
              <w:t>Zwei Produkte: Bromhexan und Hydrogenbromid (</w:t>
            </w:r>
            <w:proofErr w:type="spellStart"/>
            <w:r w:rsidRPr="00D603A5">
              <w:rPr>
                <w:color w:val="auto"/>
              </w:rPr>
              <w:t>HBr</w:t>
            </w:r>
            <w:proofErr w:type="spellEnd"/>
            <w:r w:rsidRPr="00D603A5">
              <w:rPr>
                <w:color w:val="auto"/>
              </w:rPr>
              <w:t>). (</w:t>
            </w:r>
            <w:r w:rsidRPr="00D603A5">
              <w:rPr>
                <w:i/>
                <w:color w:val="auto"/>
              </w:rPr>
              <w:t>Hinweis</w:t>
            </w:r>
            <w:r w:rsidRPr="00D603A5">
              <w:rPr>
                <w:color w:val="auto"/>
              </w:rPr>
              <w:t>: Ein mögliches Nebenprodukt ist n-</w:t>
            </w:r>
            <w:proofErr w:type="spellStart"/>
            <w:r w:rsidRPr="00D603A5">
              <w:rPr>
                <w:color w:val="auto"/>
              </w:rPr>
              <w:t>Dodecan</w:t>
            </w:r>
            <w:proofErr w:type="spellEnd"/>
            <w:r w:rsidRPr="00D603A5">
              <w:rPr>
                <w:color w:val="auto"/>
              </w:rPr>
              <w:t xml:space="preserve">, das sich aus zwei </w:t>
            </w:r>
            <w:proofErr w:type="spellStart"/>
            <w:r w:rsidRPr="00D603A5">
              <w:rPr>
                <w:color w:val="auto"/>
              </w:rPr>
              <w:t>Hexylradikalen</w:t>
            </w:r>
            <w:proofErr w:type="spellEnd"/>
            <w:r w:rsidRPr="00D603A5">
              <w:rPr>
                <w:color w:val="auto"/>
              </w:rPr>
              <w:t xml:space="preserve"> bildet.)</w:t>
            </w:r>
          </w:p>
        </w:tc>
        <w:tc>
          <w:tcPr>
            <w:tcW w:w="1818" w:type="dxa"/>
          </w:tcPr>
          <w:p w:rsidR="00D603A5" w:rsidRPr="00D603A5" w:rsidRDefault="00D603A5" w:rsidP="0046283A">
            <w:pPr>
              <w:jc w:val="left"/>
              <w:rPr>
                <w:color w:val="auto"/>
              </w:rPr>
            </w:pPr>
            <w:proofErr w:type="spellStart"/>
            <w:r w:rsidRPr="00D603A5">
              <w:rPr>
                <w:color w:val="auto"/>
              </w:rPr>
              <w:t>Radikalische</w:t>
            </w:r>
            <w:proofErr w:type="spellEnd"/>
            <w:r w:rsidRPr="00D603A5">
              <w:rPr>
                <w:color w:val="auto"/>
              </w:rPr>
              <w:t xml:space="preserve"> Substitution</w:t>
            </w:r>
          </w:p>
        </w:tc>
      </w:tr>
      <w:tr w:rsidR="00D603A5" w:rsidRPr="00D603A5" w:rsidTr="0046283A">
        <w:tc>
          <w:tcPr>
            <w:tcW w:w="1384" w:type="dxa"/>
            <w:vAlign w:val="center"/>
          </w:tcPr>
          <w:p w:rsidR="00D603A5" w:rsidRPr="00D603A5" w:rsidRDefault="00D603A5" w:rsidP="0046283A">
            <w:pPr>
              <w:jc w:val="center"/>
              <w:rPr>
                <w:color w:val="auto"/>
              </w:rPr>
            </w:pPr>
            <w:proofErr w:type="spellStart"/>
            <w:r w:rsidRPr="00D603A5">
              <w:rPr>
                <w:color w:val="auto"/>
              </w:rPr>
              <w:t>Bromierung</w:t>
            </w:r>
            <w:proofErr w:type="spellEnd"/>
            <w:r w:rsidRPr="00D603A5">
              <w:rPr>
                <w:color w:val="auto"/>
              </w:rPr>
              <w:t xml:space="preserve"> von Hexen</w:t>
            </w:r>
          </w:p>
        </w:tc>
        <w:tc>
          <w:tcPr>
            <w:tcW w:w="1940" w:type="dxa"/>
          </w:tcPr>
          <w:p w:rsidR="00D603A5" w:rsidRPr="00D603A5" w:rsidRDefault="00D603A5" w:rsidP="0046283A">
            <w:pPr>
              <w:jc w:val="left"/>
              <w:rPr>
                <w:color w:val="auto"/>
              </w:rPr>
            </w:pPr>
            <w:r w:rsidRPr="00D603A5">
              <w:rPr>
                <w:color w:val="auto"/>
              </w:rPr>
              <w:t>Primär zum Nachweis von Doppelbindungen.</w:t>
            </w:r>
          </w:p>
        </w:tc>
        <w:tc>
          <w:tcPr>
            <w:tcW w:w="2025" w:type="dxa"/>
          </w:tcPr>
          <w:p w:rsidR="00D603A5" w:rsidRPr="00D603A5" w:rsidRDefault="00D603A5" w:rsidP="0046283A">
            <w:pPr>
              <w:jc w:val="left"/>
              <w:rPr>
                <w:color w:val="auto"/>
              </w:rPr>
            </w:pPr>
            <w:r w:rsidRPr="00D603A5">
              <w:rPr>
                <w:color w:val="auto"/>
              </w:rPr>
              <w:t>Sofortige, schnelle Reaktion beim Zusammengeben; keine Belichtung (bzw. andere Energiezufuhr) erforderlich</w:t>
            </w:r>
          </w:p>
        </w:tc>
        <w:tc>
          <w:tcPr>
            <w:tcW w:w="2121" w:type="dxa"/>
          </w:tcPr>
          <w:p w:rsidR="00D603A5" w:rsidRPr="00D603A5" w:rsidRDefault="00D603A5" w:rsidP="0046283A">
            <w:pPr>
              <w:jc w:val="left"/>
              <w:rPr>
                <w:color w:val="auto"/>
              </w:rPr>
            </w:pPr>
            <w:r w:rsidRPr="00D603A5">
              <w:rPr>
                <w:color w:val="auto"/>
              </w:rPr>
              <w:t>Ein Produkt: 1,2-Dibromcyclohexan. (</w:t>
            </w:r>
            <w:r w:rsidRPr="00D603A5">
              <w:rPr>
                <w:i/>
                <w:color w:val="auto"/>
              </w:rPr>
              <w:t>Hinweis</w:t>
            </w:r>
            <w:r w:rsidRPr="00D603A5">
              <w:rPr>
                <w:color w:val="auto"/>
              </w:rPr>
              <w:t>: Es gibt keine Nebenprodukte.)</w:t>
            </w:r>
          </w:p>
        </w:tc>
        <w:tc>
          <w:tcPr>
            <w:tcW w:w="1818" w:type="dxa"/>
          </w:tcPr>
          <w:p w:rsidR="00D603A5" w:rsidRPr="00D603A5" w:rsidRDefault="00D603A5" w:rsidP="0046283A">
            <w:pPr>
              <w:jc w:val="left"/>
              <w:rPr>
                <w:color w:val="auto"/>
              </w:rPr>
            </w:pPr>
            <w:proofErr w:type="spellStart"/>
            <w:r w:rsidRPr="00D603A5">
              <w:rPr>
                <w:color w:val="auto"/>
              </w:rPr>
              <w:t>Elektrophile</w:t>
            </w:r>
            <w:proofErr w:type="spellEnd"/>
            <w:r w:rsidRPr="00D603A5">
              <w:rPr>
                <w:color w:val="auto"/>
              </w:rPr>
              <w:t xml:space="preserve"> Addition</w:t>
            </w:r>
          </w:p>
        </w:tc>
      </w:tr>
    </w:tbl>
    <w:p w:rsidR="00D603A5" w:rsidRPr="00D603A5" w:rsidRDefault="00D603A5" w:rsidP="00D603A5">
      <w:pPr>
        <w:rPr>
          <w:color w:val="auto"/>
        </w:rPr>
      </w:pPr>
    </w:p>
    <w:p w:rsidR="00D603A5" w:rsidRPr="00D603A5" w:rsidRDefault="00D603A5" w:rsidP="00D603A5">
      <w:pPr>
        <w:rPr>
          <w:b/>
          <w:color w:val="auto"/>
          <w:u w:val="single"/>
        </w:rPr>
      </w:pPr>
      <w:r w:rsidRPr="00D603A5">
        <w:rPr>
          <w:b/>
          <w:color w:val="auto"/>
          <w:u w:val="single"/>
        </w:rPr>
        <w:t>Aufgabe 3:</w:t>
      </w:r>
    </w:p>
    <w:p w:rsidR="00D603A5" w:rsidRPr="00D603A5" w:rsidRDefault="00D603A5" w:rsidP="00D603A5">
      <w:pPr>
        <w:rPr>
          <w:color w:val="auto"/>
        </w:rPr>
      </w:pPr>
      <w:r w:rsidRPr="00D603A5">
        <w:object w:dxaOrig="14415" w:dyaOrig="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4.75pt" o:ole="">
            <v:imagedata r:id="rId6" o:title=""/>
          </v:shape>
          <o:OLEObject Type="Embed" ProgID="ChemDraw.Document.6.0" ShapeID="_x0000_i1025" DrawAspect="Content" ObjectID="_1532442460" r:id="rId7"/>
        </w:object>
      </w:r>
    </w:p>
    <w:p w:rsidR="00FB2814" w:rsidRPr="00D603A5" w:rsidRDefault="00FB2814"/>
    <w:sectPr w:rsidR="00FB2814" w:rsidRPr="00D603A5" w:rsidSect="00CA5715">
      <w:pgSz w:w="11906" w:h="16838"/>
      <w:pgMar w:top="1417" w:right="1417" w:bottom="709" w:left="1417" w:header="708" w:footer="708" w:gutter="0"/>
      <w:pgNumType w:star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03" w:rsidRPr="0080101C" w:rsidRDefault="00B34028" w:rsidP="0049087A">
    <w:pPr>
      <w:pStyle w:val="Kopfzeile"/>
      <w:tabs>
        <w:tab w:val="left" w:pos="0"/>
        <w:tab w:val="left" w:pos="284"/>
      </w:tabs>
      <w:jc w:val="right"/>
      <w:rPr>
        <w:rFonts w:asciiTheme="majorHAnsi" w:hAnsiTheme="majorHAnsi"/>
        <w:sz w:val="20"/>
        <w:szCs w:val="20"/>
      </w:rPr>
    </w:pPr>
  </w:p>
  <w:p w:rsidR="00363903" w:rsidRPr="00337B69" w:rsidRDefault="00B34028" w:rsidP="00B95499">
    <w:pPr>
      <w:pStyle w:val="Kopfzeile"/>
      <w:rPr>
        <w:rFonts w:asciiTheme="majorHAnsi" w:hAnsiTheme="majorHAnsi"/>
        <w:sz w:val="20"/>
        <w:szCs w:val="20"/>
      </w:rPr>
    </w:pPr>
    <w:r>
      <w:fldChar w:fldCharType="begin"/>
    </w:r>
    <w:r>
      <w:instrText xml:space="preserve"> STYLEREF  "Überschrift 1" \n  \* MERGEFORMAT </w:instrText>
    </w:r>
    <w:r>
      <w:fldChar w:fldCharType="separate"/>
    </w:r>
    <w:r w:rsidRPr="00B34028">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p>
  <w:p w:rsidR="00363903" w:rsidRPr="0080101C" w:rsidRDefault="00D603A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94392" id="_x0000_t32" coordsize="21600,21600" o:spt="32" o:oned="t" path="m,l21600,21600e" filled="f">
              <v:path arrowok="t" fillok="f" o:connecttype="none"/>
              <o:lock v:ext="edit" shapetype="t"/>
            </v:shapetype>
            <v:shape id="Gerade Verbindung mit Pfeil 11"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5"/>
    <w:rsid w:val="00B34028"/>
    <w:rsid w:val="00D603A5"/>
    <w:rsid w:val="00FB2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83F191-0BF3-4B9A-9634-F5175FB1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603A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603A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603A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603A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603A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603A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603A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603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03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03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03A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603A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603A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603A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603A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603A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603A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603A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603A5"/>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60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3A5"/>
    <w:rPr>
      <w:rFonts w:ascii="Cambria" w:hAnsi="Cambria"/>
      <w:color w:val="171717" w:themeColor="background2" w:themeShade="1A"/>
    </w:rPr>
  </w:style>
  <w:style w:type="table" w:styleId="Tabellenraster">
    <w:name w:val="Table Grid"/>
    <w:basedOn w:val="NormaleTabelle"/>
    <w:uiPriority w:val="59"/>
    <w:rsid w:val="00D6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2</cp:revision>
  <cp:lastPrinted>2016-08-11T15:41:00Z</cp:lastPrinted>
  <dcterms:created xsi:type="dcterms:W3CDTF">2016-08-11T15:40:00Z</dcterms:created>
  <dcterms:modified xsi:type="dcterms:W3CDTF">2016-08-11T15:41:00Z</dcterms:modified>
</cp:coreProperties>
</file>