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7A585" w14:textId="77777777" w:rsidR="009D0531" w:rsidRPr="001328BD" w:rsidRDefault="009D0531" w:rsidP="009D0531">
      <w:pPr>
        <w:pStyle w:val="berschrift2"/>
        <w:numPr>
          <w:ilvl w:val="0"/>
          <w:numId w:val="0"/>
        </w:numPr>
        <w:ind w:left="576" w:hanging="576"/>
        <w:rPr>
          <w:color w:val="auto"/>
        </w:rPr>
      </w:pPr>
      <w:bookmarkStart w:id="0" w:name="_Toc458377826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C24C5" wp14:editId="0FAB5C1B">
                <wp:simplePos x="0" y="0"/>
                <wp:positionH relativeFrom="column">
                  <wp:posOffset>-50800</wp:posOffset>
                </wp:positionH>
                <wp:positionV relativeFrom="paragraph">
                  <wp:posOffset>583565</wp:posOffset>
                </wp:positionV>
                <wp:extent cx="5809615" cy="1357630"/>
                <wp:effectExtent l="0" t="0" r="32385" b="13970"/>
                <wp:wrapSquare wrapText="bothSides"/>
                <wp:docPr id="4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1357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BF1F9D" w14:textId="77777777" w:rsidR="009D0531" w:rsidRPr="00F31EBF" w:rsidRDefault="009D0531" w:rsidP="009D0531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Ein weiterer Nachweis für Aldehyde, der auf der oxidierenden Wirkung von Kupfer im basischen Milieu basiert, ist die sogenannte Fehling-Probe. Dabei werden zunächst zwei Lösungen miteinander vermischt, eine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Kupfersulfatlösung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(Fehling I) und eine Kalium-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Natriumtartratlösung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mit verdünnter Natronlauge (Fehling II). Ein roter Niederschlag von Kupfer(I)-oxid dient als Nachweis für Aldehyde.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C24C5" id="_x0000_t202" coordsize="21600,21600" o:spt="202" path="m0,0l0,21600,21600,21600,21600,0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4pt;margin-top:45.95pt;width:457.45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A21RUDAABmBgAADgAAAGRycy9lMm9Eb2MueG1srFXbjtowEH2v1H+w/M4mgRAg2rCCLFSVelN3&#10;qz6b2CFWHTu1DQmt+u8dO0uWlpe2apAij+2cOXM5w+1dVwt0ZNpwJTMc3YQYMVkoyuU+w58et6M5&#10;RsYSSYlQkmX4xAy+W758cds2KRurSgnKNAIQadK2yXBlbZMGgSkqVhNzoxom4bBUuiYWTL0PqCYt&#10;oNciGIdhErRK00arghkDu/f9IV56/LJkhX1floZZJDIM3Kx/a//euXewvCXpXpOm4sUTDfIPLGrC&#10;JTgdoO6JJeig+RVUzQutjCrtTaHqQJUlL5iPAaKJwt+ieahIw3wskBzTDGky/w+2eHf8oBGnGY7H&#10;GElSQ40eWWfRWnUo8flpG5PCtYcGLtoO9qHOPlbTvFHFF4Okyisi92yltWorRijwi1xmg4tPXUVM&#10;ahzIrn2rKPghB6s8UFfq2iUP0oEAHep0GmrjuBSwOZ2HiySaYlTAWTSZzpKJZxeQ9Px5o419xVSN&#10;3CLDGorv4cnxjbGODknPV5w3owSnWy6EN04mFxodCfQJtBdVLUaCGAubGd76x2OJQw3k+3tR6J6+&#10;hWAfGq3fP/MyHtP7/cWXkKiFGMYz+PiaiN7vBibxepXnyd877jGuPbvw74mpep4UVj37mltQoeB1&#10;hucXQblabiT1GrGEi34NaRTS8WZeX31uweosLP0+lMz3/vfVdhrO4sl8NJtNJ6N4sglH6/k2H63y&#10;KElmm3W+3kQ/XHhRnFacUiY3HtOcpRjFf9bqT0OhF9EgxoGgY6UOEONDRVu0Ewf9kUDLJ5MplABR&#10;7tplAg22cAYU3JXGlRYRsYexVliNkVb2M7eV16TrTodpLos1T9zP7xPRVKRP8ixeLOZeDMN1X5eB&#10;jrcumAZXyehvdJBbSP05zV5bTk69sGy366BOTmM7RU+gMuDrpQTDGRaV0t8wamHQZdh8PRDNoL9f&#10;S1DqIopjNxm9EU9nYzD05cnu8oTIAqAybCE3fplbsOCTQ6P5vgJP/WyQagXqLrnX3TMrCMEZMMx8&#10;ME+D103LS9vfev57WP4EAAD//wMAUEsDBBQABgAIAAAAIQATgmOG3gAAAAkBAAAPAAAAZHJzL2Rv&#10;d25yZXYueG1sTI/BTsMwEETvSPyDtUhcUGsHRElCnAohVRWniNAPcJMliYjXwXbT9O9ZTnDb1Yxm&#10;3hTbxY5iRh8GRxqStQKB1Lh2oE7D4WO3SkGEaKg1oyPUcMEA2/L6qjB56870jnMdO8EhFHKjoY9x&#10;yqUMTY/WhLWbkFj7dN6ayK/vZOvNmcPtKO+V2khrBuKG3kz42mPzVZ8sl9ylZp/QpfrGve92b3U1&#10;HuZK69ub5eUZRMQl/pnhF5/RoWSmoztRG8SoYZXylKghSzIQrGdqw8dRw4N6fAJZFvL/gvIHAAD/&#10;/wMAUEsBAi0AFAAGAAgAAAAhAOSZw8D7AAAA4QEAABMAAAAAAAAAAAAAAAAAAAAAAFtDb250ZW50&#10;X1R5cGVzXS54bWxQSwECLQAUAAYACAAAACEAI7Jq4dcAAACUAQAACwAAAAAAAAAAAAAAAAAsAQAA&#10;X3JlbHMvLnJlbHNQSwECLQAUAAYACAAAACEAN0A21RUDAABmBgAADgAAAAAAAAAAAAAAAAAsAgAA&#10;ZHJzL2Uyb0RvYy54bWxQSwECLQAUAAYACAAAACEAE4Jjht4AAAAJAQAADwAAAAAAAAAAAAAAAABt&#10;BQAAZHJzL2Rvd25yZXYueG1sUEsFBgAAAAAEAAQA8wAAAHgGAAAAAA==&#10;" strokecolor="#4bacc6" strokeweight="1pt">
                <v:stroke dashstyle="dash"/>
                <v:shadow color="#868686" opacity="49150f"/>
                <v:textbox>
                  <w:txbxContent>
                    <w:p w14:paraId="3ABF1F9D" w14:textId="77777777" w:rsidR="009D0531" w:rsidRPr="00F31EBF" w:rsidRDefault="009D0531" w:rsidP="009D0531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Ein weiterer Nachweis für Aldehyde, der auf der oxidierenden Wirkung von Kupfer im basischen Milieu basiert, ist die sogenannte Fehling-Probe. Dabei werden zunächst zwei Lösungen miteinander vermischt, eine </w:t>
                      </w:r>
                      <w:proofErr w:type="spellStart"/>
                      <w:r>
                        <w:rPr>
                          <w:color w:val="auto"/>
                        </w:rPr>
                        <w:t>Kupfersulfatlösung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(Fehling I) und eine Kalium-</w:t>
                      </w:r>
                      <w:proofErr w:type="spellStart"/>
                      <w:r>
                        <w:rPr>
                          <w:color w:val="auto"/>
                        </w:rPr>
                        <w:t>Natriumtartratlösung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mit verdünnter Natronlauge (Fehling II). Ein roter Niederschlag von Kupfer(I)-oxid dient als Nachweis für Aldehyde.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auto"/>
        </w:rPr>
        <w:t>Fehling-Probe</w:t>
      </w:r>
      <w:bookmarkEnd w:id="0"/>
      <w:r w:rsidRPr="00163F74">
        <w:rPr>
          <w:color w:val="auto"/>
        </w:rPr>
        <w:t xml:space="preserve"> </w:t>
      </w:r>
    </w:p>
    <w:p w14:paraId="7ED5CD62" w14:textId="77777777" w:rsidR="009D0531" w:rsidRPr="00863351" w:rsidRDefault="009D0531" w:rsidP="009D0531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D0531" w:rsidRPr="00293C5A" w14:paraId="707403B4" w14:textId="77777777" w:rsidTr="00E0500C">
        <w:tc>
          <w:tcPr>
            <w:tcW w:w="9322" w:type="dxa"/>
            <w:gridSpan w:val="9"/>
            <w:shd w:val="clear" w:color="auto" w:fill="4F81BD"/>
            <w:vAlign w:val="center"/>
          </w:tcPr>
          <w:p w14:paraId="6B35225C" w14:textId="77777777" w:rsidR="009D0531" w:rsidRPr="00293C5A" w:rsidRDefault="009D0531" w:rsidP="00E0500C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293C5A">
              <w:rPr>
                <w:b/>
                <w:bCs/>
                <w:color w:val="FFFFFF"/>
              </w:rPr>
              <w:t>Gefahrenstoffe</w:t>
            </w:r>
          </w:p>
        </w:tc>
      </w:tr>
      <w:tr w:rsidR="009D0531" w:rsidRPr="00293C5A" w14:paraId="57671B39" w14:textId="77777777" w:rsidTr="00E0500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DBEF9F7" w14:textId="77777777" w:rsidR="009D0531" w:rsidRPr="00A413F2" w:rsidRDefault="009D0531" w:rsidP="00E0500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Kupfer(II)-sulfat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2885006" w14:textId="77777777" w:rsidR="009D0531" w:rsidRDefault="009D0531" w:rsidP="00E050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302-315-319-410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72C11C" w14:textId="77777777" w:rsidR="009D0531" w:rsidRDefault="009D0531" w:rsidP="00E050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273-305+351+338-302+352</w:t>
            </w:r>
          </w:p>
        </w:tc>
      </w:tr>
      <w:tr w:rsidR="009D0531" w:rsidRPr="00293C5A" w14:paraId="23523341" w14:textId="77777777" w:rsidTr="00E0500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98C418F" w14:textId="77777777" w:rsidR="009D0531" w:rsidRPr="00A413F2" w:rsidRDefault="009D0531" w:rsidP="00E0500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4BBDB5A" w14:textId="77777777" w:rsidR="009D0531" w:rsidRDefault="009D0531" w:rsidP="00E050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5DABB5A" w14:textId="77777777" w:rsidR="009D0531" w:rsidRDefault="009D0531" w:rsidP="00E0500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280-301+330+331-305+351+338-308+210</w:t>
            </w:r>
          </w:p>
        </w:tc>
      </w:tr>
      <w:tr w:rsidR="009D0531" w:rsidRPr="00293C5A" w14:paraId="0CCBEC84" w14:textId="77777777" w:rsidTr="00E0500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3850A00" w14:textId="77777777" w:rsidR="009D0531" w:rsidRPr="00293C5A" w:rsidRDefault="009D0531" w:rsidP="00E0500C">
            <w:pPr>
              <w:spacing w:after="0" w:line="276" w:lineRule="auto"/>
              <w:jc w:val="center"/>
              <w:rPr>
                <w:b/>
                <w:bCs/>
              </w:rPr>
            </w:pPr>
            <w:r w:rsidRPr="00A413F2">
              <w:rPr>
                <w:sz w:val="20"/>
                <w:szCs w:val="20"/>
              </w:rPr>
              <w:t>Butan-2-on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1DD5D1E" w14:textId="77777777" w:rsidR="009D0531" w:rsidRPr="00293C5A" w:rsidRDefault="009D0531" w:rsidP="00E0500C">
            <w:pPr>
              <w:spacing w:after="0"/>
              <w:jc w:val="center"/>
            </w:pPr>
            <w:r>
              <w:rPr>
                <w:sz w:val="20"/>
                <w:szCs w:val="20"/>
              </w:rPr>
              <w:t>H: 225-319-336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44A2DCD" w14:textId="77777777" w:rsidR="009D0531" w:rsidRPr="00293C5A" w:rsidRDefault="009D0531" w:rsidP="00E0500C">
            <w:pPr>
              <w:spacing w:after="0"/>
              <w:jc w:val="center"/>
            </w:pPr>
            <w:r>
              <w:rPr>
                <w:sz w:val="20"/>
                <w:szCs w:val="20"/>
              </w:rPr>
              <w:t>P: 210-305+351+338-403+233</w:t>
            </w:r>
          </w:p>
        </w:tc>
      </w:tr>
      <w:tr w:rsidR="009D0531" w:rsidRPr="00293C5A" w14:paraId="1A8A10EB" w14:textId="77777777" w:rsidTr="00E0500C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14:paraId="063D2BAB" w14:textId="77777777" w:rsidR="009D0531" w:rsidRPr="00293C5A" w:rsidRDefault="009D0531" w:rsidP="00E0500C">
            <w:pPr>
              <w:spacing w:after="0" w:line="276" w:lineRule="auto"/>
              <w:jc w:val="center"/>
              <w:rPr>
                <w:bCs/>
                <w:sz w:val="20"/>
              </w:rPr>
            </w:pPr>
            <w:r w:rsidRPr="00A413F2">
              <w:rPr>
                <w:color w:val="auto"/>
                <w:sz w:val="20"/>
                <w:szCs w:val="20"/>
              </w:rPr>
              <w:t>Acetaldehyd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14:paraId="73C0FCEF" w14:textId="77777777" w:rsidR="009D0531" w:rsidRPr="00293C5A" w:rsidRDefault="009D0531" w:rsidP="00E0500C">
            <w:pPr>
              <w:pStyle w:val="Beschriftung"/>
              <w:spacing w:after="0"/>
              <w:jc w:val="center"/>
              <w:rPr>
                <w:sz w:val="20"/>
              </w:rPr>
            </w:pPr>
            <w:r w:rsidRPr="00A413F2">
              <w:rPr>
                <w:sz w:val="20"/>
                <w:szCs w:val="20"/>
              </w:rPr>
              <w:t xml:space="preserve">H: </w:t>
            </w:r>
            <w:r w:rsidRPr="00CF341C">
              <w:rPr>
                <w:sz w:val="20"/>
                <w:szCs w:val="20"/>
              </w:rPr>
              <w:t>332</w:t>
            </w:r>
            <w:r w:rsidRPr="00A413F2">
              <w:rPr>
                <w:sz w:val="20"/>
                <w:szCs w:val="20"/>
              </w:rPr>
              <w:t>-</w:t>
            </w:r>
            <w:r w:rsidRPr="00CF341C">
              <w:rPr>
                <w:sz w:val="20"/>
                <w:szCs w:val="20"/>
              </w:rPr>
              <w:t>312</w:t>
            </w:r>
            <w:r w:rsidRPr="00A413F2">
              <w:rPr>
                <w:sz w:val="20"/>
                <w:szCs w:val="20"/>
              </w:rPr>
              <w:t>-</w:t>
            </w:r>
            <w:r w:rsidRPr="00CF341C">
              <w:rPr>
                <w:sz w:val="20"/>
                <w:szCs w:val="20"/>
              </w:rPr>
              <w:t>302</w:t>
            </w:r>
            <w:r w:rsidRPr="00A413F2">
              <w:rPr>
                <w:sz w:val="20"/>
                <w:szCs w:val="20"/>
              </w:rPr>
              <w:t>-</w:t>
            </w:r>
            <w:r w:rsidRPr="00CF341C">
              <w:rPr>
                <w:sz w:val="20"/>
                <w:szCs w:val="20"/>
              </w:rPr>
              <w:t>412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DB45768" w14:textId="77777777" w:rsidR="009D0531" w:rsidRPr="00293C5A" w:rsidRDefault="009D0531" w:rsidP="00E0500C">
            <w:pPr>
              <w:pStyle w:val="Beschriftung"/>
              <w:spacing w:after="0"/>
              <w:jc w:val="center"/>
              <w:rPr>
                <w:sz w:val="20"/>
              </w:rPr>
            </w:pPr>
            <w:r w:rsidRPr="00A413F2">
              <w:rPr>
                <w:sz w:val="20"/>
                <w:szCs w:val="20"/>
              </w:rPr>
              <w:t xml:space="preserve">P: </w:t>
            </w:r>
            <w:r w:rsidRPr="00CF341C">
              <w:rPr>
                <w:sz w:val="20"/>
                <w:szCs w:val="20"/>
              </w:rPr>
              <w:t>273</w:t>
            </w:r>
            <w:r w:rsidRPr="00A413F2">
              <w:rPr>
                <w:sz w:val="20"/>
                <w:szCs w:val="20"/>
              </w:rPr>
              <w:t>-​</w:t>
            </w:r>
            <w:r w:rsidRPr="00CF341C">
              <w:rPr>
                <w:sz w:val="20"/>
                <w:szCs w:val="20"/>
              </w:rPr>
              <w:t>302+352</w:t>
            </w:r>
          </w:p>
        </w:tc>
        <w:bookmarkStart w:id="1" w:name="_GoBack"/>
        <w:bookmarkEnd w:id="1"/>
      </w:tr>
      <w:tr w:rsidR="009D0531" w:rsidRPr="00293C5A" w14:paraId="63FE0A79" w14:textId="77777777" w:rsidTr="00E0500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DB7BC92" w14:textId="77777777" w:rsidR="009D0531" w:rsidRPr="00293C5A" w:rsidRDefault="009D0531" w:rsidP="00E0500C">
            <w:pPr>
              <w:spacing w:after="0"/>
              <w:jc w:val="center"/>
              <w:rPr>
                <w:b/>
                <w:bCs/>
              </w:rPr>
            </w:pPr>
            <w:r w:rsidRPr="00293C5A">
              <w:rPr>
                <w:b/>
                <w:noProof/>
                <w:lang w:eastAsia="de-DE"/>
              </w:rPr>
              <w:drawing>
                <wp:inline distT="0" distB="0" distL="0" distR="0" wp14:anchorId="3BF936AD" wp14:editId="62B36489">
                  <wp:extent cx="504825" cy="504825"/>
                  <wp:effectExtent l="0" t="0" r="0" b="0"/>
                  <wp:docPr id="16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CCA0587" w14:textId="77777777" w:rsidR="009D0531" w:rsidRPr="00293C5A" w:rsidRDefault="009D0531" w:rsidP="00E0500C">
            <w:pPr>
              <w:spacing w:after="0"/>
              <w:jc w:val="center"/>
            </w:pPr>
            <w:r w:rsidRPr="00F46FC2">
              <w:rPr>
                <w:noProof/>
                <w:lang w:eastAsia="de-DE"/>
              </w:rPr>
              <w:drawing>
                <wp:inline distT="0" distB="0" distL="0" distR="0" wp14:anchorId="1724C5DF" wp14:editId="78C7B747">
                  <wp:extent cx="504825" cy="504825"/>
                  <wp:effectExtent l="0" t="0" r="0" b="0"/>
                  <wp:docPr id="1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D42F9BC" w14:textId="77777777" w:rsidR="009D0531" w:rsidRPr="00293C5A" w:rsidRDefault="009D0531" w:rsidP="00E0500C">
            <w:pPr>
              <w:spacing w:after="0"/>
              <w:jc w:val="center"/>
            </w:pPr>
            <w:r w:rsidRPr="00F46FC2">
              <w:rPr>
                <w:noProof/>
                <w:lang w:eastAsia="de-DE"/>
              </w:rPr>
              <w:drawing>
                <wp:inline distT="0" distB="0" distL="0" distR="0" wp14:anchorId="20CF12A2" wp14:editId="430AA3CC">
                  <wp:extent cx="504825" cy="504825"/>
                  <wp:effectExtent l="0" t="0" r="3175" b="3175"/>
                  <wp:docPr id="1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D739E81" w14:textId="77777777" w:rsidR="009D0531" w:rsidRPr="00293C5A" w:rsidRDefault="009D0531" w:rsidP="00E0500C">
            <w:pPr>
              <w:spacing w:after="0"/>
              <w:jc w:val="center"/>
            </w:pPr>
            <w:r w:rsidRPr="00F46FC2">
              <w:rPr>
                <w:noProof/>
                <w:lang w:eastAsia="de-DE"/>
              </w:rPr>
              <w:drawing>
                <wp:inline distT="0" distB="0" distL="0" distR="0" wp14:anchorId="0A3AA5E0" wp14:editId="06FA30E9">
                  <wp:extent cx="504825" cy="504825"/>
                  <wp:effectExtent l="0" t="0" r="0" b="0"/>
                  <wp:docPr id="1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794826C" w14:textId="77777777" w:rsidR="009D0531" w:rsidRPr="00293C5A" w:rsidRDefault="009D0531" w:rsidP="00E0500C">
            <w:pPr>
              <w:spacing w:after="0"/>
              <w:jc w:val="center"/>
            </w:pPr>
            <w:r w:rsidRPr="00F46FC2">
              <w:rPr>
                <w:noProof/>
                <w:lang w:eastAsia="de-DE"/>
              </w:rPr>
              <w:drawing>
                <wp:inline distT="0" distB="0" distL="0" distR="0" wp14:anchorId="47330667" wp14:editId="0B897A42">
                  <wp:extent cx="504825" cy="504825"/>
                  <wp:effectExtent l="0" t="0" r="0" b="0"/>
                  <wp:docPr id="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75C2E9F" w14:textId="77777777" w:rsidR="009D0531" w:rsidRPr="00293C5A" w:rsidRDefault="009D0531" w:rsidP="00E0500C">
            <w:pPr>
              <w:spacing w:after="0"/>
              <w:jc w:val="center"/>
            </w:pPr>
            <w:r w:rsidRPr="00F46FC2">
              <w:rPr>
                <w:noProof/>
                <w:lang w:eastAsia="de-DE"/>
              </w:rPr>
              <w:drawing>
                <wp:inline distT="0" distB="0" distL="0" distR="0" wp14:anchorId="3423EB7A" wp14:editId="610D7552">
                  <wp:extent cx="504825" cy="504825"/>
                  <wp:effectExtent l="0" t="0" r="3175" b="3175"/>
                  <wp:docPr id="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67544E1" w14:textId="77777777" w:rsidR="009D0531" w:rsidRPr="00293C5A" w:rsidRDefault="009D0531" w:rsidP="00E0500C">
            <w:pPr>
              <w:spacing w:after="0"/>
              <w:jc w:val="center"/>
            </w:pPr>
            <w:r w:rsidRPr="00F46FC2">
              <w:rPr>
                <w:noProof/>
                <w:lang w:eastAsia="de-DE"/>
              </w:rPr>
              <w:drawing>
                <wp:inline distT="0" distB="0" distL="0" distR="0" wp14:anchorId="5C5AA800" wp14:editId="1CEBE058">
                  <wp:extent cx="504825" cy="504825"/>
                  <wp:effectExtent l="0" t="0" r="0" b="0"/>
                  <wp:docPr id="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BE051A5" w14:textId="77777777" w:rsidR="009D0531" w:rsidRPr="00293C5A" w:rsidRDefault="009D0531" w:rsidP="00E0500C">
            <w:pPr>
              <w:spacing w:after="0"/>
              <w:jc w:val="center"/>
            </w:pPr>
            <w:r w:rsidRPr="00F46FC2">
              <w:rPr>
                <w:noProof/>
                <w:lang w:eastAsia="de-DE"/>
              </w:rPr>
              <w:drawing>
                <wp:inline distT="0" distB="0" distL="0" distR="0" wp14:anchorId="200A495E" wp14:editId="45AD53DE">
                  <wp:extent cx="508635" cy="508635"/>
                  <wp:effectExtent l="0" t="0" r="0" b="0"/>
                  <wp:docPr id="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7A8DB9E" w14:textId="77777777" w:rsidR="009D0531" w:rsidRPr="00293C5A" w:rsidRDefault="009D0531" w:rsidP="00E0500C">
            <w:pPr>
              <w:spacing w:after="0"/>
              <w:jc w:val="center"/>
            </w:pPr>
            <w:r w:rsidRPr="00F46FC2">
              <w:rPr>
                <w:noProof/>
                <w:lang w:eastAsia="de-DE"/>
              </w:rPr>
              <w:drawing>
                <wp:inline distT="0" distB="0" distL="0" distR="0" wp14:anchorId="257758BF" wp14:editId="6E945CD8">
                  <wp:extent cx="504825" cy="504825"/>
                  <wp:effectExtent l="0" t="0" r="3175" b="3175"/>
                  <wp:docPr id="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4A823" w14:textId="77777777" w:rsidR="009D0531" w:rsidRDefault="009D0531" w:rsidP="009D0531">
      <w:pPr>
        <w:tabs>
          <w:tab w:val="left" w:pos="1701"/>
          <w:tab w:val="left" w:pos="1985"/>
        </w:tabs>
        <w:ind w:left="1980" w:hanging="1980"/>
      </w:pPr>
    </w:p>
    <w:p w14:paraId="16131AF0" w14:textId="77777777" w:rsidR="009D0531" w:rsidRDefault="009D0531" w:rsidP="009D053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Wasserbad, 100 </w:t>
      </w:r>
      <w:proofErr w:type="spellStart"/>
      <w:r>
        <w:t>mL</w:t>
      </w:r>
      <w:proofErr w:type="spellEnd"/>
      <w:r>
        <w:t xml:space="preserve">-Becherglas, 250 </w:t>
      </w:r>
      <w:proofErr w:type="spellStart"/>
      <w:r>
        <w:t>mL</w:t>
      </w:r>
      <w:proofErr w:type="spellEnd"/>
      <w:r>
        <w:t>-Becherglas, Spatel, Glasstab, Reagenzgläser, Messzylinder</w:t>
      </w:r>
    </w:p>
    <w:p w14:paraId="75FD22F4" w14:textId="77777777" w:rsidR="009D0531" w:rsidRPr="00ED07C2" w:rsidRDefault="009D0531" w:rsidP="009D053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Kupfersulfatlösung</w:t>
      </w:r>
      <w:proofErr w:type="spellEnd"/>
      <w:r>
        <w:t>, Natriumhydroxid, Kaliumnatriumtartrat, Acetaldehyd, Butan-2-on, destilliertes Wasser</w:t>
      </w:r>
    </w:p>
    <w:p w14:paraId="0B32EC92" w14:textId="77777777" w:rsidR="009D0531" w:rsidRDefault="009D0531" w:rsidP="009D053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Pr="00C95646">
        <w:rPr>
          <w:u w:val="single"/>
        </w:rPr>
        <w:t xml:space="preserve">Herstellen </w:t>
      </w:r>
      <w:r>
        <w:rPr>
          <w:u w:val="single"/>
        </w:rPr>
        <w:t>des</w:t>
      </w:r>
      <w:r w:rsidRPr="00C95646">
        <w:rPr>
          <w:u w:val="single"/>
        </w:rPr>
        <w:t xml:space="preserve"> Fehling-Reagenz</w:t>
      </w:r>
      <w:r>
        <w:t xml:space="preserve"> </w:t>
      </w:r>
    </w:p>
    <w:p w14:paraId="3BAA4F51" w14:textId="77777777" w:rsidR="009D0531" w:rsidRDefault="009D0531" w:rsidP="009D053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Zur Herstellung des Fehling-Reagenz werden zunächst zwei Lösungen angesetzt (Fehling I und Fehling II), die später vereinigt werden. </w:t>
      </w:r>
    </w:p>
    <w:p w14:paraId="0FB1ABB3" w14:textId="77777777" w:rsidR="009D0531" w:rsidRDefault="009D0531" w:rsidP="009D053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Die Lösung „Fehling I“ wird hergestellt, indem 0,7 g blaues Kupfersulfat in 10 </w:t>
      </w:r>
      <w:proofErr w:type="spellStart"/>
      <w:r>
        <w:t>mL</w:t>
      </w:r>
      <w:proofErr w:type="spellEnd"/>
      <w:r>
        <w:t xml:space="preserve"> destilliertem Wasser gelöst werden. </w:t>
      </w:r>
    </w:p>
    <w:p w14:paraId="2E149A44" w14:textId="77777777" w:rsidR="009D0531" w:rsidRDefault="009D0531" w:rsidP="009D053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Die Herstellung der Lösung „Fehling II“ erfolgt, indem in 10 </w:t>
      </w:r>
      <w:proofErr w:type="spellStart"/>
      <w:r>
        <w:t>mL</w:t>
      </w:r>
      <w:proofErr w:type="spellEnd"/>
      <w:r>
        <w:t xml:space="preserve"> destilliertem Wasser 3,5 g Kaliumnatriumtartrat und 1 g Natriumhydroxid gelöst werden.</w:t>
      </w:r>
    </w:p>
    <w:p w14:paraId="676EEAEF" w14:textId="77777777" w:rsidR="009D0531" w:rsidRDefault="009D0531" w:rsidP="009D053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Die Lösungen „Fehling I“ und „Fehling II“ werden zum Fehling-Reagenz vereinigt.</w:t>
      </w:r>
    </w:p>
    <w:p w14:paraId="2537B090" w14:textId="77777777" w:rsidR="009D0531" w:rsidRPr="00C95646" w:rsidRDefault="009D0531" w:rsidP="009D0531">
      <w:pPr>
        <w:tabs>
          <w:tab w:val="left" w:pos="1701"/>
          <w:tab w:val="left" w:pos="1985"/>
        </w:tabs>
        <w:ind w:left="1980" w:hanging="1980"/>
        <w:rPr>
          <w:u w:val="single"/>
        </w:rPr>
      </w:pPr>
      <w:r>
        <w:lastRenderedPageBreak/>
        <w:tab/>
      </w:r>
      <w:r>
        <w:tab/>
      </w:r>
      <w:r w:rsidRPr="00C95646">
        <w:rPr>
          <w:u w:val="single"/>
        </w:rPr>
        <w:t xml:space="preserve">Nachweis des Aldehyds </w:t>
      </w:r>
    </w:p>
    <w:p w14:paraId="647D40B4" w14:textId="77777777" w:rsidR="009D0531" w:rsidRDefault="009D0531" w:rsidP="009D053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Drei Reagenzgläser werden mit den folgenden Lösungen befüllt: Reagenzglas I wird mit 2 </w:t>
      </w:r>
      <w:proofErr w:type="spellStart"/>
      <w:r>
        <w:t>mL</w:t>
      </w:r>
      <w:proofErr w:type="spellEnd"/>
      <w:r>
        <w:t xml:space="preserve"> destilliertem Wasser gefüllt, Reagenzglas II mit 2 </w:t>
      </w:r>
      <w:proofErr w:type="spellStart"/>
      <w:r>
        <w:t>mL</w:t>
      </w:r>
      <w:proofErr w:type="spellEnd"/>
      <w:r>
        <w:t xml:space="preserve"> Butan-2-on und Reagenzglas III mit 2 </w:t>
      </w:r>
      <w:proofErr w:type="spellStart"/>
      <w:r>
        <w:t>mL</w:t>
      </w:r>
      <w:proofErr w:type="spellEnd"/>
      <w:r>
        <w:t xml:space="preserve"> Acetaldehyd. Nun wird zu den Lösungen in den Reagenzgläsern I-III jeweils das gleiche Volumen (2 </w:t>
      </w:r>
      <w:proofErr w:type="spellStart"/>
      <w:r>
        <w:t>mL</w:t>
      </w:r>
      <w:proofErr w:type="spellEnd"/>
      <w:r>
        <w:t>) Fehling-Reagenz gegeben. Nach Zugabe von Fehling-Reagenz werden die Reagenzgläser unter dem Abzug im Wasserbad für einige Minuten erhitzt. Die Temperatur des Wasserbades sollte bei mindestens 70 °C liegen.</w:t>
      </w:r>
    </w:p>
    <w:p w14:paraId="342822AA" w14:textId="77777777" w:rsidR="009D0531" w:rsidRDefault="009D0531" w:rsidP="009D053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Lösungen in den Reagenzgläsern I und II färben sich nach Zugabe des Fehling-Reagenz blau. Nach dem Erhitzen im Wasserbad ist allerdings keine weitere Veränderung zu beobachten.</w:t>
      </w:r>
    </w:p>
    <w:p w14:paraId="02C6B578" w14:textId="77777777" w:rsidR="009D0531" w:rsidRDefault="009D0531" w:rsidP="009D053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Die Lösung in Reagenzglas III färbt sich nach Zugabe von Fehling-Reagenz ebenfalls zunächst blau. Wenn die Probe etwa fünf Minuten lang im Wasserbad erhitzt wird, färbt sich die Lösung grün-gelblich und bildet rasch einen rötlich spiegelnden Niederschlag aus.</w:t>
      </w:r>
    </w:p>
    <w:p w14:paraId="1C2C6AAD" w14:textId="77777777" w:rsidR="009D0531" w:rsidRDefault="009D0531" w:rsidP="009D0531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4CBAB2EB" wp14:editId="316EC34E">
            <wp:extent cx="3639528" cy="3668242"/>
            <wp:effectExtent l="0" t="0" r="0" b="0"/>
            <wp:docPr id="78" name="Bild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WP_20160804_010.jpg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58863" cy="36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53D86" w14:textId="77777777" w:rsidR="009D0531" w:rsidRDefault="009D0531" w:rsidP="009D0531">
      <w:pPr>
        <w:pStyle w:val="Beschriftung"/>
        <w:jc w:val="center"/>
      </w:pPr>
      <w:r w:rsidRPr="006201FA">
        <w:rPr>
          <w:b/>
        </w:rPr>
        <w:t>Abbildung 3</w:t>
      </w:r>
      <w:r>
        <w:t>: Die positive Fehling-Probe zeigt die Anwesenheit von Aldehyden an.</w:t>
      </w:r>
    </w:p>
    <w:p w14:paraId="371623E2" w14:textId="77777777" w:rsidR="009D0531" w:rsidRDefault="009D0531" w:rsidP="009D0531">
      <w:pPr>
        <w:tabs>
          <w:tab w:val="left" w:pos="1701"/>
          <w:tab w:val="left" w:pos="1985"/>
        </w:tabs>
        <w:ind w:left="1985" w:hanging="1985"/>
      </w:pPr>
      <w:r>
        <w:lastRenderedPageBreak/>
        <w:t>Deutung:</w:t>
      </w:r>
      <w:r>
        <w:tab/>
      </w:r>
      <w:r>
        <w:tab/>
        <w:t>Beim Erhitzen wird der Aldehyd mit Fehling-Reagenz zur Carbonsäure oxidiert, wobei gleichzeitig zweiwertiges Kupfer zu rotem Kupfer(I)-oxid reduziert wird. Dies wird durch den rötlichen Niederschlag angezeigt.</w:t>
      </w:r>
    </w:p>
    <w:p w14:paraId="676B65A6" w14:textId="77777777" w:rsidR="009D0531" w:rsidRDefault="009D0531" w:rsidP="009D0531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>Die Reaktion läuft nach folgender Gleichung ab:</w:t>
      </w:r>
    </w:p>
    <w:p w14:paraId="1E277543" w14:textId="77777777" w:rsidR="009D0531" w:rsidRDefault="009D0531" w:rsidP="009D0531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>Oxidation:</w:t>
      </w:r>
    </w:p>
    <w:p w14:paraId="6ACA4AA7" w14:textId="77777777" w:rsidR="009D0531" w:rsidRDefault="009D0531" w:rsidP="009D0531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</w:r>
      <w:r>
        <w:rPr>
          <w:noProof/>
          <w:lang w:eastAsia="de-DE"/>
        </w:rPr>
        <w:drawing>
          <wp:inline distT="0" distB="0" distL="0" distR="0" wp14:anchorId="01474A53" wp14:editId="26FB1477">
            <wp:extent cx="3737353" cy="725798"/>
            <wp:effectExtent l="0" t="0" r="0" b="1143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xidation_Carbons.pn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822" cy="73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ED529" w14:textId="77777777" w:rsidR="009D0531" w:rsidRDefault="009D0531" w:rsidP="009D0531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>Reduktion:</w:t>
      </w:r>
    </w:p>
    <w:p w14:paraId="016486B3" w14:textId="77777777" w:rsidR="009D0531" w:rsidRDefault="009D0531" w:rsidP="009D0531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</w:r>
      <m:oMath>
        <m:r>
          <w:rPr>
            <w:rFonts w:ascii="Cambria Math" w:hAnsi="Cambria Math"/>
          </w:rPr>
          <m:t xml:space="preserve">2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Cu</m:t>
                </m:r>
              </m:e>
              <m:sup>
                <m:r>
                  <w:rPr>
                    <w:rFonts w:ascii="Cambria Math" w:hAnsi="Cambria Math"/>
                  </w:rPr>
                  <m:t>2+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  <m:r>
          <w:rPr>
            <w:rFonts w:ascii="Cambria Math" w:hAnsi="Cambria Math"/>
          </w:rPr>
          <m:t xml:space="preserve">+2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 xml:space="preserve"> →2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Cu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  <m:sub>
            <m:r>
              <w:rPr>
                <w:rFonts w:ascii="Cambria Math" w:hAnsi="Cambria Math"/>
              </w:rPr>
              <m:t>(aq)</m:t>
            </m:r>
          </m:sub>
        </m:sSub>
      </m:oMath>
    </w:p>
    <w:p w14:paraId="08903DCC" w14:textId="77777777" w:rsidR="009D0531" w:rsidRDefault="009D0531" w:rsidP="009D0531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>Gesamt:</w:t>
      </w:r>
    </w:p>
    <w:p w14:paraId="209F7A81" w14:textId="77777777" w:rsidR="009D0531" w:rsidRDefault="009D0531" w:rsidP="009D0531">
      <w:pPr>
        <w:tabs>
          <w:tab w:val="left" w:pos="1701"/>
          <w:tab w:val="left" w:pos="1985"/>
        </w:tabs>
      </w:pPr>
      <w:r>
        <w:tab/>
      </w:r>
      <w:r>
        <w:rPr>
          <w:noProof/>
          <w:lang w:eastAsia="de-DE"/>
        </w:rPr>
        <w:drawing>
          <wp:inline distT="0" distB="0" distL="0" distR="0" wp14:anchorId="094CE98F" wp14:editId="66A8C722">
            <wp:extent cx="4575553" cy="741410"/>
            <wp:effectExtent l="0" t="0" r="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ehling.pn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302" cy="75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591B" w14:textId="77777777" w:rsidR="009D0531" w:rsidRDefault="009D0531" w:rsidP="009D0531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>Unter Berücksichtigung der Bildung von rotem Kupfer(I)-oxid lässt sich auch folgende Reaktionsgleichung formulieren.</w:t>
      </w:r>
    </w:p>
    <w:p w14:paraId="17061F6A" w14:textId="77777777" w:rsidR="009D0531" w:rsidRDefault="009D0531" w:rsidP="009D0531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</w:r>
      <w:r>
        <w:rPr>
          <w:noProof/>
          <w:lang w:eastAsia="de-DE"/>
        </w:rPr>
        <w:drawing>
          <wp:inline distT="0" distB="0" distL="0" distR="0" wp14:anchorId="73EC640A" wp14:editId="4EC6BF61">
            <wp:extent cx="3946903" cy="1125117"/>
            <wp:effectExtent l="0" t="0" r="0" b="0"/>
            <wp:docPr id="39" name="Bild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u2O_Fehling.pn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949" cy="114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FE2FC" w14:textId="77777777" w:rsidR="009D0531" w:rsidRDefault="009D0531" w:rsidP="009D0531">
      <w:pPr>
        <w:tabs>
          <w:tab w:val="left" w:pos="1985"/>
        </w:tabs>
        <w:spacing w:line="276" w:lineRule="auto"/>
        <w:jc w:val="left"/>
      </w:pPr>
      <w:r>
        <w:t>Entsorgung:</w:t>
      </w:r>
      <w:r>
        <w:tab/>
        <w:t xml:space="preserve">Die Entsorgung der Lösung erfolgt über die organischen Lösungsmittel. </w:t>
      </w:r>
    </w:p>
    <w:p w14:paraId="6DE3CBF4" w14:textId="77777777" w:rsidR="009D0531" w:rsidRDefault="009D0531" w:rsidP="009D0531">
      <w:pPr>
        <w:tabs>
          <w:tab w:val="left" w:pos="1985"/>
        </w:tabs>
        <w:ind w:left="1980" w:hanging="1980"/>
        <w:jc w:val="left"/>
        <w:rPr>
          <w:color w:val="auto"/>
        </w:rPr>
      </w:pPr>
      <w:r>
        <w:t>Literatur:</w:t>
      </w:r>
      <w:r>
        <w:tab/>
      </w:r>
      <w:r>
        <w:tab/>
      </w:r>
      <w:r>
        <w:rPr>
          <w:color w:val="auto"/>
        </w:rPr>
        <w:t xml:space="preserve">[1] </w:t>
      </w:r>
      <w:proofErr w:type="spellStart"/>
      <w:r>
        <w:rPr>
          <w:color w:val="auto"/>
        </w:rPr>
        <w:t>Wollrab</w:t>
      </w:r>
      <w:proofErr w:type="spellEnd"/>
      <w:r>
        <w:rPr>
          <w:color w:val="auto"/>
        </w:rPr>
        <w:t xml:space="preserve">, A., </w:t>
      </w:r>
      <w:r w:rsidRPr="006F31A6">
        <w:rPr>
          <w:i/>
          <w:color w:val="auto"/>
        </w:rPr>
        <w:t>Organische Chemie – Eine Einführung für Lehramts- und Nebenfachstudenten</w:t>
      </w:r>
      <w:r>
        <w:rPr>
          <w:color w:val="auto"/>
        </w:rPr>
        <w:t>, 4. Aufl., Springer-Verlag, Berlin, Heidelberg, 2014, Seiten 546-547</w:t>
      </w:r>
    </w:p>
    <w:p w14:paraId="57142F19" w14:textId="77777777" w:rsidR="009D0531" w:rsidRDefault="009D0531" w:rsidP="009D0531">
      <w:pPr>
        <w:tabs>
          <w:tab w:val="left" w:pos="1985"/>
        </w:tabs>
        <w:ind w:left="1980" w:hanging="1980"/>
        <w:jc w:val="left"/>
        <w:rPr>
          <w:color w:val="auto"/>
        </w:rPr>
      </w:pPr>
      <w:r>
        <w:rPr>
          <w:color w:val="auto"/>
        </w:rPr>
        <w:tab/>
        <w:t xml:space="preserve">[2] Blume R., Prof. </w:t>
      </w:r>
      <w:proofErr w:type="spellStart"/>
      <w:r>
        <w:rPr>
          <w:color w:val="auto"/>
        </w:rPr>
        <w:t>Blumes</w:t>
      </w:r>
      <w:proofErr w:type="spellEnd"/>
      <w:r>
        <w:rPr>
          <w:color w:val="auto"/>
        </w:rPr>
        <w:t xml:space="preserve"> Bildungsserver für Chemie; </w:t>
      </w:r>
      <w:r w:rsidRPr="00050568">
        <w:t>http://www.chemieunterricht.de/dc2/r-cho/c-nw-cho.htm</w:t>
      </w:r>
      <w:r>
        <w:rPr>
          <w:color w:val="auto"/>
        </w:rPr>
        <w:t>; zuletzt geöffnet am 06.08.2016 um 16:37</w:t>
      </w:r>
    </w:p>
    <w:p w14:paraId="3C5FBBCE" w14:textId="77777777" w:rsidR="009D0531" w:rsidRDefault="009D0531" w:rsidP="009D0531">
      <w:pPr>
        <w:tabs>
          <w:tab w:val="left" w:pos="1985"/>
        </w:tabs>
        <w:ind w:left="1980" w:hanging="1980"/>
        <w:jc w:val="left"/>
        <w:rPr>
          <w:color w:val="auto"/>
        </w:rPr>
      </w:pPr>
    </w:p>
    <w:p w14:paraId="3FB4B2FD" w14:textId="77777777" w:rsidR="009D0531" w:rsidRDefault="009D0531" w:rsidP="009D0531">
      <w:pPr>
        <w:tabs>
          <w:tab w:val="left" w:pos="1985"/>
        </w:tabs>
        <w:ind w:left="1980" w:hanging="1980"/>
        <w:jc w:val="left"/>
        <w:rPr>
          <w:color w:val="auto"/>
        </w:rPr>
      </w:pPr>
    </w:p>
    <w:p w14:paraId="124375FF" w14:textId="77777777" w:rsidR="009D0531" w:rsidRDefault="0020548D" w:rsidP="009D0531">
      <w:pPr>
        <w:tabs>
          <w:tab w:val="left" w:pos="1985"/>
        </w:tabs>
        <w:ind w:left="1980" w:hanging="1980"/>
        <w:jc w:val="left"/>
        <w:rPr>
          <w:color w:val="auto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8CDDF" wp14:editId="1BEEB17D">
                <wp:simplePos x="0" y="0"/>
                <wp:positionH relativeFrom="character">
                  <wp:posOffset>99060</wp:posOffset>
                </wp:positionH>
                <wp:positionV relativeFrom="line">
                  <wp:posOffset>13970</wp:posOffset>
                </wp:positionV>
                <wp:extent cx="5838190" cy="3295650"/>
                <wp:effectExtent l="0" t="0" r="10160" b="19050"/>
                <wp:wrapNone/>
                <wp:docPr id="4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3295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6C24F8" w14:textId="77777777" w:rsidR="009D0531" w:rsidRDefault="009D0531" w:rsidP="009D0531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 Fehling-Probe ist ein Nachweis für Aldehyde, der innerhalb der Unterrichtsreihe „Aldehyde und Ketone“ als Schülerexperiment eingesetzt werden kann, um das Auftreten von Aldehyden zu bestätigen. Wenn den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der Mechanismus dieser Reaktion bekannt ist, hat dieses Experiment den Charakter eines Bestätigungsexperiments. Beim Aufstellen der Reaktionsgleichung kann auch der Umgang mit Redoxreaktionen wiederholt und gefestigt werden.</w:t>
                            </w:r>
                          </w:p>
                          <w:p w14:paraId="61D303ED" w14:textId="77777777" w:rsidR="009D0531" w:rsidRDefault="009D0531" w:rsidP="009D0531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Es bietet sich teilweise an, den nachzuweisenden Aldehyd zu ersetzen. Dies bedarf allerdings einer vorherigen Gefahrstoffprüfung. Die Verwendung von Formaldehyd ist beispielsweise strikt untersagt.</w:t>
                            </w:r>
                          </w:p>
                          <w:p w14:paraId="774A8006" w14:textId="77777777" w:rsidR="009D0531" w:rsidRPr="00E71ECF" w:rsidRDefault="009D0531" w:rsidP="009D0531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 Fehling-Probe kann auch zu anderen Unterrichtsthemen in Bezug gebracht werden. Sie kann beispielsweise als Nachweis für Zucker angewendet werden und könnte daher auch im Rahmen eines Zuckernachweises durchgeführt werden.</w:t>
                            </w:r>
                          </w:p>
                          <w:p w14:paraId="001E59B9" w14:textId="77777777" w:rsidR="009D0531" w:rsidRDefault="009D0531" w:rsidP="009D0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margin-left:7.8pt;margin-top:1.1pt;width:459.7pt;height:259.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7pFwMAAG4GAAAOAAAAZHJzL2Uyb0RvYy54bWysVduO0zAQfUfiHyy/d5M0aZtWm656RUjL&#10;Rewint3YaSwcO9huk4L4d8ZOGwp9AURXijz2+PjM5czeP7SVQEemDVcyw9FdiBGTuaJc7jP88Xk7&#10;SDEylkhKhJIswydm8MP85Yv7pp6xoSqVoEwjAJFm1tQZLq2tZ0Fg8pJVxNypmkk4LJSuiAVT7wOq&#10;SQPolQiGYTgOGqVprVXOjIHddXeI5x6/KFhu3xWFYRaJDAM367/af3fuG8zvyWyvSV3y/EyD/AOL&#10;inAJj/ZQa2IJOmh+A1XxXCujCnuXqypQRcFz5mOAaKLwt2ieSlIzHwskx9R9msz/g83fHt9rxGmG&#10;kwgjSSqo0TNrLVqqFkVx5BLU1GYGfk81eNoWDqDQPlhTP6r8s0FSrUoi92yhtWpKRigQ9DeDq6sd&#10;jnEgu+aNovAQOVjlgdpCVy57kA8E6FCoU18cRyaHzVEap9EUjnI4i4fT0XjkyxeQ2eV6rY19xVSF&#10;3CLDGqrv4cnx0VgIBFwvLu41owSnWy6EN05mJTQ6EmgU6C+qGowEMRY2M7z1P48lDhWQ7/yi0P26&#10;HoJ96LRu/8LLeEz/7i9vCYkayNBwApdviej9rmeyCkdhsv77hzuM25dd+Gtiyo4nhVXHvuIWZCh4&#10;leH0KihXy42kXiSWcNGtIY1COt7MC6zLLVithaXfh5L55v+22I7CSRKng8lkFA+SeBMOlul2NVis&#10;ovF4slmulpvouwsvSmYlp5TJjcc0Fy1GyZ/1+nkqdCrq1dgTdKzUAWJ8KmmDduKgPxDo+XE8ghIg&#10;yl27xGk4nToDCu5K40qLiNjDXMutxkgr+4nb0ovSdafDNNfFSsfuz+8TUZekS/IkmU5Tl2VI29nd&#10;r3s63rpiGtwko/NoIbeAcUmz15aTUycs2+5ar+NesjtFTyA2oO0VBUMaFqXSXzFqYOBl2Hw5EM2g&#10;zV9LEOw0ShII2HojGU2GYOjrk931CZE5QGXYQor8cmXBgiuHWvN9CS91I0KqBYi84F5+bhp0rCAS&#10;Z8BQ8zGdB7Cbmte29/r5b2L+AwAA//8DAFBLAwQUAAYACAAAACEAEoek0tsAAAAIAQAADwAAAGRy&#10;cy9kb3ducmV2LnhtbEyPQUvEMBSE74L/ITzBi7jpZm3R2nQRoWdxV+k1bZ5JsUlKk+12/73Pkx6H&#10;GWa+qfarG9mCcxyCl7DdZMDQ90EP3kj4ODb3j8BiUl6rMXiUcMEI+/r6qlKlDmf/jsshGUYlPpZK&#10;gk1pKjmPvUWn4iZM6Mn7CrNTieRsuJ7VmcrdyEWWFdypwdOCVRO+Wuy/DycnQX82jbmYtnvLitbY&#10;3dA+LHetlLc368szsIRr+gvDLz6hQ01MXTh5HdlIOi8oKUEIYGQ/7XK61knIxVYAryv+/0D9AwAA&#10;//8DAFBLAQItABQABgAIAAAAIQC2gziS/gAAAOEBAAATAAAAAAAAAAAAAAAAAAAAAABbQ29udGVu&#10;dF9UeXBlc10ueG1sUEsBAi0AFAAGAAgAAAAhADj9If/WAAAAlAEAAAsAAAAAAAAAAAAAAAAALwEA&#10;AF9yZWxzLy5yZWxzUEsBAi0AFAAGAAgAAAAhAEjnXukXAwAAbgYAAA4AAAAAAAAAAAAAAAAALgIA&#10;AGRycy9lMm9Eb2MueG1sUEsBAi0AFAAGAAgAAAAhABKHpNLbAAAACAEAAA8AAAAAAAAAAAAAAAAA&#10;cQUAAGRycy9kb3ducmV2LnhtbFBLBQYAAAAABAAEAPMAAAB5BgAAAAA=&#10;" strokecolor="#c0504d" strokeweight="1pt">
                <v:stroke dashstyle="dash"/>
                <v:shadow color="#868686" opacity="49150f" offset=".74833mm,.74833mm"/>
                <v:textbox>
                  <w:txbxContent>
                    <w:p w:rsidR="009D0531" w:rsidRDefault="009D0531" w:rsidP="009D0531">
                      <w:pPr>
                        <w:rPr>
                          <w:color w:val="auto"/>
                        </w:rPr>
                      </w:pPr>
                      <w:bookmarkStart w:id="2" w:name="_GoBack"/>
                      <w:r>
                        <w:rPr>
                          <w:color w:val="auto"/>
                        </w:rPr>
                        <w:t xml:space="preserve">Die Fehling-Probe ist ein Nachweis für Aldehyde, der innerhalb der Unterrichtsreihe „Aldehyde und Ketone“ als Schülerexperiment eingesetzt werden kann, um das Auftreten von Aldehyden zu bestätigen. Wenn den </w:t>
                      </w:r>
                      <w:proofErr w:type="spellStart"/>
                      <w:r>
                        <w:rPr>
                          <w:color w:val="auto"/>
                        </w:rPr>
                        <w:t>SuS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der Mechanismus dieser Reaktion bekannt ist, hat dieses Experiment den Charakter eines Bestätigungsexperiments. Beim Aufstellen der Reaktionsgleichung kann auch der Umgang mit Redoxreaktionen wiederholt und gefestigt werden.</w:t>
                      </w:r>
                    </w:p>
                    <w:p w:rsidR="009D0531" w:rsidRDefault="009D0531" w:rsidP="009D0531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Es bietet sich teilweise an, den nachzuweisenden Aldehyd zu ersetzen. Dies bedarf allerdings einer vorherigen Gefahrstoffprüfung. Die Verwendung von Formaldehyd ist beispielsweise strikt untersagt.</w:t>
                      </w:r>
                    </w:p>
                    <w:p w:rsidR="009D0531" w:rsidRPr="00E71ECF" w:rsidRDefault="009D0531" w:rsidP="009D0531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Die Fehling-Probe kann auch zu anderen Unterrichtsthemen in Bezug gebracht werden. Sie kann beispielsweise als Nachweis für Zucker angewendet werden und könnte daher auch im Rahmen eines Zuckernachweises durchgeführt werden.</w:t>
                      </w:r>
                    </w:p>
                    <w:bookmarkEnd w:id="2"/>
                    <w:p w:rsidR="009D0531" w:rsidRDefault="009D0531" w:rsidP="009D0531"/>
                  </w:txbxContent>
                </v:textbox>
                <w10:wrap anchory="line"/>
              </v:shape>
            </w:pict>
          </mc:Fallback>
        </mc:AlternateContent>
      </w:r>
    </w:p>
    <w:p w14:paraId="41126232" w14:textId="77777777" w:rsidR="009D0531" w:rsidRDefault="009D0531" w:rsidP="009D0531">
      <w:pPr>
        <w:tabs>
          <w:tab w:val="left" w:pos="1985"/>
        </w:tabs>
        <w:ind w:left="1980" w:hanging="1980"/>
        <w:jc w:val="left"/>
        <w:rPr>
          <w:color w:val="auto"/>
        </w:rPr>
      </w:pPr>
    </w:p>
    <w:p w14:paraId="794DF898" w14:textId="77777777" w:rsidR="009D0531" w:rsidRDefault="009D0531" w:rsidP="009D0531">
      <w:pPr>
        <w:tabs>
          <w:tab w:val="left" w:pos="1985"/>
        </w:tabs>
        <w:ind w:left="1980" w:hanging="1980"/>
        <w:jc w:val="left"/>
        <w:rPr>
          <w:color w:val="auto"/>
        </w:rPr>
      </w:pPr>
    </w:p>
    <w:p w14:paraId="3F46D6A8" w14:textId="77777777" w:rsidR="009D0531" w:rsidRPr="00E71ECF" w:rsidRDefault="009D0531" w:rsidP="009D0531">
      <w:pPr>
        <w:tabs>
          <w:tab w:val="left" w:pos="1985"/>
        </w:tabs>
        <w:ind w:left="1980" w:hanging="1980"/>
        <w:jc w:val="left"/>
      </w:pPr>
    </w:p>
    <w:p w14:paraId="1BA5B331" w14:textId="77777777" w:rsidR="009D0531" w:rsidRDefault="005367C5" w:rsidP="009D0531">
      <w:pPr>
        <w:tabs>
          <w:tab w:val="left" w:pos="1701"/>
          <w:tab w:val="left" w:pos="1985"/>
        </w:tabs>
        <w:ind w:left="1980" w:hanging="1980"/>
      </w:pPr>
      <w:r>
        <w:fldChar w:fldCharType="begin" w:fldLock="1"/>
      </w:r>
      <w:r>
        <w:instrText xml:space="preserve"> c  \* MERGEFORMAT </w:instrText>
      </w:r>
      <w:r>
        <w:fldChar w:fldCharType="separate"/>
      </w:r>
      <w:r w:rsidR="009D0531">
        <w:rPr>
          <w:noProof/>
          <w:lang w:eastAsia="de-DE"/>
        </w:rPr>
        <mc:AlternateContent>
          <mc:Choice Requires="wps">
            <w:drawing>
              <wp:inline distT="0" distB="0" distL="0" distR="0" wp14:anchorId="2F1BDB35" wp14:editId="5AB54F14">
                <wp:extent cx="5838190" cy="1290955"/>
                <wp:effectExtent l="0" t="0" r="0" b="0"/>
                <wp:docPr id="4" name="AutoShap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38190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1" o:spid="_x0000_s1026" style="width:459.7pt;height:10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0UtAIAALsFAAAOAAAAZHJzL2Uyb0RvYy54bWysVG1vmzAQ/j5p/8Hyd8pLTQKopOpCmCZ1&#10;W6VuP8ABE6yBzWwnpJv233c2SZq0X6ZtfEA+3/Hcc3cPd3O77zu0Y0pzKXIcXgUYMVHJmotNjr9+&#10;Kb0EI22oqGknBcvxE9P4dvH2zc04ZCySrexqphCACJ2NQ45bY4bM93XVsp7qKzkwAc5Gqp4aMNXG&#10;rxUdAb3v/CgIZv4oVT0oWTGt4baYnHjh8JuGVeZz02hmUJdj4GbcW7n32r79xQ3NNooOLa8ONOhf&#10;sOgpF5D0BFVQQ9FW8VdQPa+U1LIxV5Xsfdk0vGKuBqgmDF5U89jSgblaoDl6OLVJ/z/Y6tPuQSFe&#10;55hgJGgPI7rbGukyo+g6tA0aB51B3OPwoGyJeriX1TeNhFy2VGzYnR6gzTB8ADheKSXHltEamDoI&#10;/wLDGhrQ0Hr8KGtISSGla9++Ub3NAY1Bezelp9OU2N6gCi7j5DoJUxhmBb4wSoM0ji1Nn2bHzwel&#10;zXsme2QPOVbAz8HT3b02U+gxxGYTsuRd56TQiYsLwJxuIDl8an2WhpvsT8i8SlYJ8Ug0W3kkKArv&#10;rlwSb1aG87i4LpbLIvxl84Yka3ldM2HTHFUWkj+b4kHvkz5OOtOy47WFs5S02qyXnUI7Ciov3XNo&#10;yFmYf0nD9QtqeVFSGJHgXZR65SyZe6QksZfOg8QLwvRdOgtISorysqR7Lti/l4TGHKdxFLspnZF+&#10;UVvgnte10aznBvZIx/scJ6cgmlkNrkTtRmso76bzWSss/edWwLiPg3aKtSKd9L+W9RMIVkmQE0gP&#10;Nh4cWql+YDTC9six/r6limHUfRAg+jQkxK4bZ5B4HoGhzj3rcw8VFUDl2GA0HZdmWlHbQfFNC5lC&#10;1xgh7b/ZcCdh+xNNrIC/NWBDuEoO28yuoHPbRT3v3MVvAAAA//8DAFBLAwQUAAYACAAAACEAH55B&#10;4t4AAAAFAQAADwAAAGRycy9kb3ducmV2LnhtbEyPT0vDQBDF74LfYRnBi9hNWxEbMymlIC1FKKZ/&#10;ztvsmIRmZ9PsNonf3tWLXgYe7/Heb5L5YGrRUesqywjjUQSCOLe64gJhv3t7fAHhvGKtasuE8EUO&#10;5untTaJibXv+oC7zhQgl7GKFUHrfxFK6vCSj3Mg2xMH7tK1RPsi2kLpVfSg3tZxE0bM0quKwUKqG&#10;liXl5+xqEPp82x137yu5fTiuLV/Wl2V22CDe3w2LVxCeBv8Xhh/8gA5pYDrZK2snaoTwiP+9wZuN&#10;Z08gTgiTaDoFmSbyP336DQAA//8DAFBLAQItABQABgAIAAAAIQC2gziS/gAAAOEBAAATAAAAAAAA&#10;AAAAAAAAAAAAAABbQ29udGVudF9UeXBlc10ueG1sUEsBAi0AFAAGAAgAAAAhADj9If/WAAAAlAEA&#10;AAsAAAAAAAAAAAAAAAAALwEAAF9yZWxzLy5yZWxzUEsBAi0AFAAGAAgAAAAhAMM33RS0AgAAuwUA&#10;AA4AAAAAAAAAAAAAAAAALgIAAGRycy9lMm9Eb2MueG1sUEsBAi0AFAAGAAgAAAAhAB+eQeLeAAAA&#10;BQEAAA8AAAAAAAAAAAAAAAAAD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de-DE"/>
        </w:rPr>
        <w:fldChar w:fldCharType="end"/>
      </w:r>
    </w:p>
    <w:p w14:paraId="3ED80F34" w14:textId="77777777" w:rsidR="0057570B" w:rsidRDefault="005367C5"/>
    <w:sectPr w:rsidR="0057570B">
      <w:footerReference w:type="even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0C93E" w14:textId="77777777" w:rsidR="005367C5" w:rsidRDefault="005367C5" w:rsidP="00CF341C">
      <w:pPr>
        <w:spacing w:after="0" w:line="240" w:lineRule="auto"/>
      </w:pPr>
      <w:r>
        <w:separator/>
      </w:r>
    </w:p>
  </w:endnote>
  <w:endnote w:type="continuationSeparator" w:id="0">
    <w:p w14:paraId="0DEB5CF2" w14:textId="77777777" w:rsidR="005367C5" w:rsidRDefault="005367C5" w:rsidP="00CF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321A2" w14:textId="77777777" w:rsidR="00CF341C" w:rsidRDefault="00CF341C" w:rsidP="00ED67F6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FDDEF9C" w14:textId="77777777" w:rsidR="00CF341C" w:rsidRDefault="00CF341C" w:rsidP="00CF341C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C2717" w14:textId="77777777" w:rsidR="00CF341C" w:rsidRDefault="00CF341C" w:rsidP="00ED67F6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5446B5B" w14:textId="77777777" w:rsidR="00CF341C" w:rsidRDefault="00CF341C" w:rsidP="00CF341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AB6D8" w14:textId="77777777" w:rsidR="005367C5" w:rsidRDefault="005367C5" w:rsidP="00CF341C">
      <w:pPr>
        <w:spacing w:after="0" w:line="240" w:lineRule="auto"/>
      </w:pPr>
      <w:r>
        <w:separator/>
      </w:r>
    </w:p>
  </w:footnote>
  <w:footnote w:type="continuationSeparator" w:id="0">
    <w:p w14:paraId="5D063846" w14:textId="77777777" w:rsidR="005367C5" w:rsidRDefault="005367C5" w:rsidP="00CF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1"/>
    <w:rsid w:val="0020548D"/>
    <w:rsid w:val="003964B1"/>
    <w:rsid w:val="005367C5"/>
    <w:rsid w:val="006314DB"/>
    <w:rsid w:val="009D0531"/>
    <w:rsid w:val="00C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4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9D0531"/>
    <w:pPr>
      <w:spacing w:line="360" w:lineRule="auto"/>
      <w:jc w:val="both"/>
    </w:pPr>
    <w:rPr>
      <w:rFonts w:ascii="Cambria" w:eastAsia="Calibri" w:hAnsi="Cambria" w:cs="Arial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0531"/>
    <w:pPr>
      <w:keepNext/>
      <w:keepLines/>
      <w:numPr>
        <w:numId w:val="1"/>
      </w:numPr>
      <w:spacing w:before="360" w:after="240"/>
      <w:outlineLvl w:val="0"/>
    </w:pPr>
    <w:rPr>
      <w:rFonts w:eastAsia="MS Gothic" w:cs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0531"/>
    <w:pPr>
      <w:keepNext/>
      <w:keepLines/>
      <w:numPr>
        <w:ilvl w:val="1"/>
        <w:numId w:val="1"/>
      </w:numPr>
      <w:spacing w:before="200"/>
      <w:outlineLvl w:val="1"/>
    </w:pPr>
    <w:rPr>
      <w:rFonts w:eastAsia="MS Gothic" w:cs="Times New Roman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D0531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 w:cs="Times New Roman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0531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 w:cs="Times New Roman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0531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 w:cs="Times New Roman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0531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0531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0531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 w:cs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0531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 w:cs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0531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0531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0531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0531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0531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0531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0531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0531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0531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D0531"/>
    <w:pPr>
      <w:spacing w:line="240" w:lineRule="auto"/>
    </w:pPr>
    <w:rPr>
      <w:bCs/>
      <w:color w:val="auto"/>
      <w:sz w:val="18"/>
      <w:szCs w:val="18"/>
    </w:rPr>
  </w:style>
  <w:style w:type="character" w:styleId="Link">
    <w:name w:val="Hyperlink"/>
    <w:uiPriority w:val="99"/>
    <w:unhideWhenUsed/>
    <w:rsid w:val="009D053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531"/>
    <w:rPr>
      <w:rFonts w:ascii="Tahoma" w:eastAsia="Calibri" w:hAnsi="Tahoma" w:cs="Tahoma"/>
      <w:color w:val="1D1B11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CF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341C"/>
    <w:rPr>
      <w:rFonts w:ascii="Cambria" w:eastAsia="Calibri" w:hAnsi="Cambria" w:cs="Arial"/>
      <w:color w:val="1D1B11"/>
    </w:rPr>
  </w:style>
  <w:style w:type="character" w:styleId="Seitenzahl">
    <w:name w:val="page number"/>
    <w:basedOn w:val="Absatz-Standardschriftart"/>
    <w:uiPriority w:val="99"/>
    <w:semiHidden/>
    <w:unhideWhenUsed/>
    <w:rsid w:val="00CF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2622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</dc:creator>
  <cp:lastModifiedBy>Ansgar Misch</cp:lastModifiedBy>
  <cp:revision>2</cp:revision>
  <dcterms:created xsi:type="dcterms:W3CDTF">2016-08-11T18:05:00Z</dcterms:created>
  <dcterms:modified xsi:type="dcterms:W3CDTF">2016-08-11T18:05:00Z</dcterms:modified>
</cp:coreProperties>
</file>