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41B" w:rsidRPr="00AA641B" w:rsidRDefault="00AA641B" w:rsidP="00AA641B">
      <w:pPr>
        <w:jc w:val="left"/>
      </w:pPr>
      <w:bookmarkStart w:id="0" w:name="_GoBack"/>
      <w:bookmarkEnd w:id="0"/>
      <w:r w:rsidRPr="00AA641B">
        <w:rPr>
          <w:b/>
          <w:sz w:val="28"/>
        </w:rPr>
        <w:t>Arbeitsblatt – Gibbs-Helmholtz-Gleichung (Anwendung)</w:t>
      </w:r>
    </w:p>
    <w:p w:rsidR="00AA641B" w:rsidRPr="00AA641B" w:rsidRDefault="00AA641B" w:rsidP="00AA641B">
      <w:pPr>
        <w:spacing w:after="0"/>
        <w:ind w:left="2124" w:hanging="2124"/>
        <w:rPr>
          <w:color w:val="auto"/>
        </w:rPr>
      </w:pPr>
      <w:r w:rsidRPr="00AA641B">
        <w:rPr>
          <w:b/>
          <w:color w:val="auto"/>
          <w:u w:val="single"/>
        </w:rPr>
        <w:t>Aufgabe 1:</w:t>
      </w:r>
      <w:r w:rsidRPr="00AA641B">
        <w:rPr>
          <w:color w:val="auto"/>
        </w:rPr>
        <w:t xml:space="preserve"> </w:t>
      </w:r>
      <w:r w:rsidRPr="00AA641B">
        <w:rPr>
          <w:color w:val="auto"/>
        </w:rPr>
        <w:tab/>
        <w:t>Nennen Sie die Definition der Gibbs-Helmholtz-Gleichung und benennen Sie die einzelnen Parameter.</w:t>
      </w:r>
    </w:p>
    <w:p w:rsidR="00AA641B" w:rsidRPr="00AA641B" w:rsidRDefault="00AA641B" w:rsidP="00AA641B">
      <w:pPr>
        <w:spacing w:after="0"/>
        <w:ind w:left="2124" w:hanging="2124"/>
        <w:rPr>
          <w:color w:val="auto"/>
        </w:rPr>
      </w:pPr>
    </w:p>
    <w:p w:rsidR="00AA641B" w:rsidRPr="00AA641B" w:rsidRDefault="00AA641B" w:rsidP="00AA641B">
      <w:pPr>
        <w:spacing w:after="0"/>
        <w:ind w:left="2124" w:hanging="2124"/>
        <w:rPr>
          <w:color w:val="auto"/>
        </w:rPr>
      </w:pPr>
      <w:r w:rsidRPr="00AA641B">
        <w:rPr>
          <w:b/>
          <w:color w:val="auto"/>
          <w:u w:val="single"/>
        </w:rPr>
        <w:t>Aufgabe 2:</w:t>
      </w:r>
      <w:r w:rsidRPr="00AA641B">
        <w:rPr>
          <w:color w:val="auto"/>
        </w:rPr>
        <w:t xml:space="preserve"> </w:t>
      </w:r>
      <w:r w:rsidRPr="00AA641B">
        <w:rPr>
          <w:color w:val="auto"/>
        </w:rPr>
        <w:tab/>
        <w:t>Ammoniumchlorid wird durch Erhitzen in Chlorwasserstoff und Ammoniak gespalten.</w:t>
      </w:r>
      <w:r w:rsidRPr="00AA641B">
        <w:rPr>
          <w:b/>
          <w:color w:val="auto"/>
          <w:u w:val="single"/>
        </w:rPr>
        <w:t xml:space="preserve"> </w:t>
      </w:r>
    </w:p>
    <w:p w:rsidR="00AA641B" w:rsidRPr="00AA641B" w:rsidRDefault="00AA641B" w:rsidP="00AA641B">
      <w:pPr>
        <w:pStyle w:val="Listenabsatz"/>
        <w:numPr>
          <w:ilvl w:val="0"/>
          <w:numId w:val="2"/>
        </w:numPr>
        <w:spacing w:after="0" w:line="360" w:lineRule="auto"/>
        <w:rPr>
          <w:rFonts w:ascii="Cambria" w:hAnsi="Cambria"/>
          <w:b/>
          <w:color w:val="auto"/>
        </w:rPr>
      </w:pPr>
      <w:r w:rsidRPr="00AA641B">
        <w:rPr>
          <w:rFonts w:ascii="Cambria" w:hAnsi="Cambria"/>
          <w:color w:val="auto"/>
        </w:rPr>
        <w:t xml:space="preserve">Stellen Sie die Reaktionsgleichung auf und berechnen Sie die molare Standardreaktionsenthalpie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oMath>
      <w:r w:rsidRPr="00AA641B">
        <w:rPr>
          <w:rFonts w:ascii="Cambria" w:hAnsi="Cambria"/>
          <w:color w:val="auto"/>
        </w:rPr>
        <w:t xml:space="preserve"> sowie die molare Standardreaktionsentropie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oMath>
      <w:r w:rsidRPr="00AA641B">
        <w:rPr>
          <w:rFonts w:ascii="Cambria" w:hAnsi="Cambria"/>
          <w:color w:val="auto"/>
        </w:rPr>
        <w:t xml:space="preserve"> für </w:t>
      </w:r>
      <m:oMath>
        <m:r>
          <m:rPr>
            <m:sty m:val="p"/>
          </m:rPr>
          <w:rPr>
            <w:rFonts w:ascii="Cambria Math" w:hAnsi="Cambria Math"/>
            <w:color w:val="auto"/>
          </w:rPr>
          <m:t>T=298 K</m:t>
        </m:r>
      </m:oMath>
      <w:r w:rsidRPr="00AA641B">
        <w:rPr>
          <w:rFonts w:ascii="Cambria" w:hAnsi="Cambria"/>
          <w:color w:val="auto"/>
        </w:rPr>
        <w:t>.</w:t>
      </w:r>
    </w:p>
    <w:p w:rsidR="00AA641B" w:rsidRPr="00AA641B" w:rsidRDefault="00AA641B" w:rsidP="00AA641B">
      <w:pPr>
        <w:pStyle w:val="Listenabsatz"/>
        <w:numPr>
          <w:ilvl w:val="0"/>
          <w:numId w:val="2"/>
        </w:numPr>
        <w:spacing w:after="0" w:line="360" w:lineRule="auto"/>
        <w:rPr>
          <w:rFonts w:ascii="Cambria" w:hAnsi="Cambria"/>
          <w:b/>
          <w:color w:val="auto"/>
        </w:rPr>
      </w:pPr>
      <w:r w:rsidRPr="00AA641B">
        <w:rPr>
          <w:rFonts w:ascii="Cambria" w:hAnsi="Cambria"/>
          <w:color w:val="auto"/>
        </w:rPr>
        <w:t xml:space="preserve">Bestimmen Sie über die Gibbs-Helmholtz-Gleichung, für welche Temperatur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w:rPr>
            <w:rFonts w:ascii="Cambria Math" w:hAnsi="Cambria Math"/>
            <w:color w:val="auto"/>
          </w:rPr>
          <m:t>=0</m:t>
        </m:r>
      </m:oMath>
      <w:r w:rsidRPr="00AA641B">
        <w:rPr>
          <w:rFonts w:ascii="Cambria" w:eastAsiaTheme="minorEastAsia" w:hAnsi="Cambria"/>
          <w:color w:val="auto"/>
        </w:rPr>
        <w:t xml:space="preserve"> gilt. Was bedeutet das für die Reaktion?</w:t>
      </w:r>
    </w:p>
    <w:p w:rsidR="00AA641B" w:rsidRPr="00AA641B" w:rsidRDefault="00AA641B" w:rsidP="00AA641B">
      <w:pPr>
        <w:pStyle w:val="Listenabsatz"/>
        <w:spacing w:after="0"/>
        <w:ind w:left="2484"/>
        <w:rPr>
          <w:rFonts w:ascii="Cambria" w:eastAsiaTheme="minorEastAsia" w:hAnsi="Cambria"/>
          <w:color w:val="auto"/>
        </w:rPr>
      </w:pPr>
    </w:p>
    <w:p w:rsidR="00AA641B" w:rsidRPr="00AA641B" w:rsidRDefault="00AA641B" w:rsidP="00AA641B">
      <w:pPr>
        <w:pStyle w:val="Listenabsatz"/>
        <w:spacing w:after="0"/>
        <w:ind w:left="2484"/>
        <w:rPr>
          <w:rFonts w:ascii="Cambria" w:hAnsi="Cambria"/>
          <w:b/>
          <w:color w:val="auto"/>
        </w:rPr>
      </w:pPr>
    </w:p>
    <w:p w:rsidR="00AA641B" w:rsidRPr="00AA641B" w:rsidRDefault="00AA641B" w:rsidP="00AA641B">
      <w:pPr>
        <w:spacing w:after="0"/>
        <w:rPr>
          <w:color w:val="auto"/>
        </w:rPr>
      </w:pPr>
      <w:r w:rsidRPr="00AA641B">
        <w:rPr>
          <w:b/>
          <w:color w:val="auto"/>
        </w:rPr>
        <w:t xml:space="preserve">Hinweis: </w:t>
      </w:r>
      <w:r w:rsidRPr="00AA641B">
        <w:rPr>
          <w:color w:val="auto"/>
        </w:rPr>
        <w:t>(</w:t>
      </w:r>
      <m:oMath>
        <m:r>
          <m:rPr>
            <m:sty m:val="p"/>
          </m:rPr>
          <w:rPr>
            <w:rFonts w:ascii="Cambria Math" w:hAnsi="Cambria Math"/>
            <w:color w:val="auto"/>
          </w:rPr>
          <m:t>T = 298 K, p = 1000 hPa</m:t>
        </m:r>
      </m:oMath>
      <w:r w:rsidRPr="00AA641B">
        <w:rPr>
          <w:color w:val="auto"/>
        </w:rPr>
        <w:t>)</w:t>
      </w:r>
    </w:p>
    <w:p w:rsidR="00AA641B" w:rsidRPr="00AA641B" w:rsidRDefault="00AA641B" w:rsidP="00AA641B">
      <w:pPr>
        <w:spacing w:after="0"/>
        <w:rPr>
          <w:color w:val="auto"/>
        </w:rPr>
      </w:pPr>
    </w:p>
    <w:tbl>
      <w:tblPr>
        <w:tblStyle w:val="Tabellenraster"/>
        <w:tblW w:w="0" w:type="auto"/>
        <w:tblLook w:val="04A0" w:firstRow="1" w:lastRow="0" w:firstColumn="1" w:lastColumn="0" w:noHBand="0" w:noVBand="1"/>
      </w:tblPr>
      <w:tblGrid>
        <w:gridCol w:w="2265"/>
        <w:gridCol w:w="2265"/>
        <w:gridCol w:w="2266"/>
        <w:gridCol w:w="2266"/>
      </w:tblGrid>
      <w:tr w:rsidR="00AA641B" w:rsidRPr="00AA641B" w:rsidTr="00D7233A">
        <w:tc>
          <w:tcPr>
            <w:tcW w:w="2265" w:type="dxa"/>
          </w:tcPr>
          <w:p w:rsidR="00AA641B" w:rsidRPr="00AA641B" w:rsidRDefault="00AA641B" w:rsidP="00D7233A">
            <w:pPr>
              <w:jc w:val="center"/>
              <w:rPr>
                <w:b/>
                <w:color w:val="auto"/>
              </w:rPr>
            </w:pPr>
          </w:p>
        </w:tc>
        <w:tc>
          <w:tcPr>
            <w:tcW w:w="2265" w:type="dxa"/>
          </w:tcPr>
          <w:p w:rsidR="00AA641B" w:rsidRPr="00AA641B" w:rsidRDefault="00AA641B" w:rsidP="00D7233A">
            <w:pPr>
              <w:jc w:val="center"/>
              <w:rPr>
                <w:b/>
                <w:color w:val="auto"/>
              </w:rPr>
            </w:pPr>
            <w:r w:rsidRPr="00AA641B">
              <w:rPr>
                <w:b/>
                <w:color w:val="auto"/>
              </w:rPr>
              <w:t>N</w:t>
            </w:r>
            <m:oMath>
              <m:sSub>
                <m:sSubPr>
                  <m:ctrlPr>
                    <w:rPr>
                      <w:rFonts w:ascii="Cambria Math" w:hAnsi="Cambria Math"/>
                      <w:b/>
                      <w:color w:val="auto"/>
                    </w:rPr>
                  </m:ctrlPr>
                </m:sSubPr>
                <m:e>
                  <m:r>
                    <m:rPr>
                      <m:sty m:val="b"/>
                    </m:rPr>
                    <w:rPr>
                      <w:rFonts w:ascii="Cambria Math" w:hAnsi="Cambria Math"/>
                      <w:color w:val="auto"/>
                    </w:rPr>
                    <m:t>H</m:t>
                  </m:r>
                </m:e>
                <m:sub>
                  <m:r>
                    <m:rPr>
                      <m:sty m:val="b"/>
                    </m:rPr>
                    <w:rPr>
                      <w:rFonts w:ascii="Cambria Math" w:hAnsi="Cambria Math"/>
                      <w:color w:val="auto"/>
                    </w:rPr>
                    <m:t>4</m:t>
                  </m:r>
                </m:sub>
              </m:sSub>
              <m:sSub>
                <m:sSubPr>
                  <m:ctrlPr>
                    <w:rPr>
                      <w:rFonts w:ascii="Cambria Math" w:hAnsi="Cambria Math"/>
                      <w:b/>
                      <w:color w:val="auto"/>
                    </w:rPr>
                  </m:ctrlPr>
                </m:sSubPr>
                <m:e>
                  <m:r>
                    <m:rPr>
                      <m:sty m:val="b"/>
                    </m:rPr>
                    <w:rPr>
                      <w:rFonts w:ascii="Cambria Math" w:hAnsi="Cambria Math"/>
                      <w:color w:val="auto"/>
                    </w:rPr>
                    <m:t>Cl</m:t>
                  </m:r>
                </m:e>
                <m:sub>
                  <m:r>
                    <m:rPr>
                      <m:sty m:val="b"/>
                    </m:rPr>
                    <w:rPr>
                      <w:rFonts w:ascii="Cambria Math" w:hAnsi="Cambria Math"/>
                      <w:color w:val="auto"/>
                    </w:rPr>
                    <m:t>(s)</m:t>
                  </m:r>
                </m:sub>
              </m:sSub>
            </m:oMath>
          </w:p>
        </w:tc>
        <w:tc>
          <w:tcPr>
            <w:tcW w:w="2266" w:type="dxa"/>
          </w:tcPr>
          <w:p w:rsidR="00AA641B" w:rsidRPr="00AA641B" w:rsidRDefault="00AA641B" w:rsidP="00D7233A">
            <w:pPr>
              <w:jc w:val="center"/>
              <w:rPr>
                <w:b/>
                <w:color w:val="auto"/>
              </w:rPr>
            </w:pPr>
            <w:r w:rsidRPr="00AA641B">
              <w:rPr>
                <w:b/>
                <w:color w:val="auto"/>
              </w:rPr>
              <w:t>N</w:t>
            </w:r>
            <m:oMath>
              <m:sSub>
                <m:sSubPr>
                  <m:ctrlPr>
                    <w:rPr>
                      <w:rFonts w:ascii="Cambria Math" w:hAnsi="Cambria Math"/>
                      <w:b/>
                      <w:color w:val="auto"/>
                    </w:rPr>
                  </m:ctrlPr>
                </m:sSubPr>
                <m:e>
                  <m:r>
                    <m:rPr>
                      <m:sty m:val="b"/>
                    </m:rPr>
                    <w:rPr>
                      <w:rFonts w:ascii="Cambria Math" w:hAnsi="Cambria Math"/>
                      <w:color w:val="auto"/>
                    </w:rPr>
                    <m:t>H</m:t>
                  </m:r>
                </m:e>
                <m:sub>
                  <m:r>
                    <m:rPr>
                      <m:sty m:val="b"/>
                    </m:rPr>
                    <w:rPr>
                      <w:rFonts w:ascii="Cambria Math" w:hAnsi="Cambria Math"/>
                      <w:color w:val="auto"/>
                    </w:rPr>
                    <m:t>3 (g)</m:t>
                  </m:r>
                </m:sub>
              </m:sSub>
            </m:oMath>
          </w:p>
        </w:tc>
        <w:tc>
          <w:tcPr>
            <w:tcW w:w="2266" w:type="dxa"/>
          </w:tcPr>
          <w:p w:rsidR="00AA641B" w:rsidRPr="00AA641B" w:rsidRDefault="00AA641B" w:rsidP="00D7233A">
            <w:pPr>
              <w:jc w:val="center"/>
              <w:rPr>
                <w:b/>
                <w:color w:val="auto"/>
              </w:rPr>
            </w:pPr>
            <w:r w:rsidRPr="00AA641B">
              <w:rPr>
                <w:b/>
                <w:color w:val="auto"/>
              </w:rPr>
              <w:t>HC</w:t>
            </w:r>
            <m:oMath>
              <m:sSub>
                <m:sSubPr>
                  <m:ctrlPr>
                    <w:rPr>
                      <w:rFonts w:ascii="Cambria Math" w:hAnsi="Cambria Math"/>
                      <w:b/>
                      <w:color w:val="auto"/>
                    </w:rPr>
                  </m:ctrlPr>
                </m:sSubPr>
                <m:e>
                  <m:r>
                    <m:rPr>
                      <m:sty m:val="b"/>
                    </m:rPr>
                    <w:rPr>
                      <w:rFonts w:ascii="Cambria Math" w:hAnsi="Cambria Math"/>
                      <w:color w:val="auto"/>
                    </w:rPr>
                    <m:t>l</m:t>
                  </m:r>
                </m:e>
                <m:sub>
                  <m:r>
                    <m:rPr>
                      <m:sty m:val="b"/>
                    </m:rPr>
                    <w:rPr>
                      <w:rFonts w:ascii="Cambria Math" w:hAnsi="Cambria Math"/>
                      <w:color w:val="auto"/>
                    </w:rPr>
                    <m:t>(g)</m:t>
                  </m:r>
                </m:sub>
              </m:sSub>
            </m:oMath>
          </w:p>
        </w:tc>
      </w:tr>
      <w:tr w:rsidR="00AA641B" w:rsidRPr="00AA641B" w:rsidTr="00D7233A">
        <w:tc>
          <w:tcPr>
            <w:tcW w:w="2265" w:type="dxa"/>
          </w:tcPr>
          <w:p w:rsidR="00AA641B" w:rsidRPr="00AA641B" w:rsidRDefault="00AA641B" w:rsidP="00D7233A">
            <w:pPr>
              <w:jc w:val="center"/>
              <w:rPr>
                <w:b/>
                <w:color w:val="auto"/>
              </w:rPr>
            </w:pPr>
            <m:oMathPara>
              <m:oMath>
                <m:sSub>
                  <m:sSubPr>
                    <m:ctrlPr>
                      <w:rPr>
                        <w:rFonts w:ascii="Cambria Math" w:hAnsi="Cambria Math"/>
                        <w:b/>
                        <w:color w:val="auto"/>
                      </w:rPr>
                    </m:ctrlPr>
                  </m:sSubPr>
                  <m:e>
                    <m:r>
                      <m:rPr>
                        <m:sty m:val="b"/>
                      </m:rPr>
                      <w:rPr>
                        <w:rFonts w:ascii="Cambria Math" w:hAnsi="Cambria Math"/>
                        <w:color w:val="auto"/>
                      </w:rPr>
                      <m:t>∆</m:t>
                    </m:r>
                  </m:e>
                  <m:sub>
                    <m:r>
                      <m:rPr>
                        <m:sty m:val="b"/>
                      </m:rPr>
                      <w:rPr>
                        <w:rFonts w:ascii="Cambria Math" w:hAnsi="Cambria Math"/>
                        <w:color w:val="auto"/>
                      </w:rPr>
                      <m:t>f</m:t>
                    </m:r>
                  </m:sub>
                </m:sSub>
                <m:sSubSup>
                  <m:sSubSupPr>
                    <m:ctrlPr>
                      <w:rPr>
                        <w:rFonts w:ascii="Cambria Math" w:hAnsi="Cambria Math"/>
                        <w:b/>
                        <w:color w:val="auto"/>
                      </w:rPr>
                    </m:ctrlPr>
                  </m:sSubSupPr>
                  <m:e>
                    <m:r>
                      <m:rPr>
                        <m:sty m:val="b"/>
                      </m:rPr>
                      <w:rPr>
                        <w:rFonts w:ascii="Cambria Math" w:hAnsi="Cambria Math"/>
                        <w:color w:val="auto"/>
                      </w:rPr>
                      <m:t>H</m:t>
                    </m:r>
                  </m:e>
                  <m:sub>
                    <m:r>
                      <m:rPr>
                        <m:sty m:val="b"/>
                      </m:rPr>
                      <w:rPr>
                        <w:rFonts w:ascii="Cambria Math" w:hAnsi="Cambria Math"/>
                        <w:color w:val="auto"/>
                      </w:rPr>
                      <m:t>m</m:t>
                    </m:r>
                  </m:sub>
                  <m:sup>
                    <m:r>
                      <m:rPr>
                        <m:sty m:val="b"/>
                      </m:rPr>
                      <w:rPr>
                        <w:rFonts w:ascii="Cambria Math" w:hAnsi="Cambria Math"/>
                        <w:color w:val="auto"/>
                      </w:rPr>
                      <m:t>0</m:t>
                    </m:r>
                  </m:sup>
                </m:sSubSup>
                <m:r>
                  <m:rPr>
                    <m:sty m:val="b"/>
                  </m:rPr>
                  <w:rPr>
                    <w:rFonts w:ascii="Cambria Math" w:hAnsi="Cambria Math"/>
                    <w:color w:val="auto"/>
                  </w:rPr>
                  <m:t xml:space="preserve"> in kJ∙</m:t>
                </m:r>
                <m:sSup>
                  <m:sSupPr>
                    <m:ctrlPr>
                      <w:rPr>
                        <w:rFonts w:ascii="Cambria Math" w:hAnsi="Cambria Math"/>
                        <w:b/>
                        <w:color w:val="auto"/>
                      </w:rPr>
                    </m:ctrlPr>
                  </m:sSupPr>
                  <m:e>
                    <m:r>
                      <m:rPr>
                        <m:sty m:val="b"/>
                      </m:rPr>
                      <w:rPr>
                        <w:rFonts w:ascii="Cambria Math" w:hAnsi="Cambria Math"/>
                        <w:color w:val="auto"/>
                      </w:rPr>
                      <m:t>mol</m:t>
                    </m:r>
                  </m:e>
                  <m:sup>
                    <m:r>
                      <m:rPr>
                        <m:sty m:val="b"/>
                      </m:rPr>
                      <w:rPr>
                        <w:rFonts w:ascii="Cambria Math" w:hAnsi="Cambria Math"/>
                        <w:color w:val="auto"/>
                      </w:rPr>
                      <m:t>-1</m:t>
                    </m:r>
                  </m:sup>
                </m:sSup>
              </m:oMath>
            </m:oMathPara>
          </w:p>
        </w:tc>
        <w:tc>
          <w:tcPr>
            <w:tcW w:w="2265" w:type="dxa"/>
          </w:tcPr>
          <w:p w:rsidR="00AA641B" w:rsidRPr="00AA641B" w:rsidRDefault="00AA641B" w:rsidP="00D7233A">
            <w:pPr>
              <w:jc w:val="center"/>
              <w:rPr>
                <w:b/>
                <w:color w:val="auto"/>
              </w:rPr>
            </w:pPr>
            <w:r w:rsidRPr="00AA641B">
              <w:rPr>
                <w:b/>
                <w:color w:val="auto"/>
              </w:rPr>
              <w:t>-314</w:t>
            </w:r>
          </w:p>
        </w:tc>
        <w:tc>
          <w:tcPr>
            <w:tcW w:w="2266" w:type="dxa"/>
          </w:tcPr>
          <w:p w:rsidR="00AA641B" w:rsidRPr="00AA641B" w:rsidRDefault="00AA641B" w:rsidP="00D7233A">
            <w:pPr>
              <w:jc w:val="center"/>
              <w:rPr>
                <w:b/>
                <w:color w:val="auto"/>
              </w:rPr>
            </w:pPr>
            <w:r w:rsidRPr="00AA641B">
              <w:rPr>
                <w:b/>
                <w:color w:val="auto"/>
              </w:rPr>
              <w:t>-46</w:t>
            </w:r>
          </w:p>
        </w:tc>
        <w:tc>
          <w:tcPr>
            <w:tcW w:w="2266" w:type="dxa"/>
          </w:tcPr>
          <w:p w:rsidR="00AA641B" w:rsidRPr="00AA641B" w:rsidRDefault="00AA641B" w:rsidP="00D7233A">
            <w:pPr>
              <w:jc w:val="center"/>
              <w:rPr>
                <w:b/>
                <w:color w:val="auto"/>
              </w:rPr>
            </w:pPr>
            <w:r w:rsidRPr="00AA641B">
              <w:rPr>
                <w:b/>
                <w:color w:val="auto"/>
              </w:rPr>
              <w:t>-92</w:t>
            </w:r>
          </w:p>
        </w:tc>
      </w:tr>
      <w:tr w:rsidR="00AA641B" w:rsidRPr="00AA641B" w:rsidTr="00D7233A">
        <w:tc>
          <w:tcPr>
            <w:tcW w:w="2265" w:type="dxa"/>
          </w:tcPr>
          <w:p w:rsidR="00AA641B" w:rsidRPr="00AA641B" w:rsidRDefault="00AA641B" w:rsidP="00D7233A">
            <w:pPr>
              <w:jc w:val="center"/>
              <w:rPr>
                <w:b/>
                <w:color w:val="auto"/>
              </w:rPr>
            </w:pPr>
            <m:oMathPara>
              <m:oMath>
                <m:sSubSup>
                  <m:sSubSupPr>
                    <m:ctrlPr>
                      <w:rPr>
                        <w:rFonts w:ascii="Cambria Math" w:hAnsi="Cambria Math"/>
                        <w:b/>
                        <w:color w:val="auto"/>
                      </w:rPr>
                    </m:ctrlPr>
                  </m:sSubSupPr>
                  <m:e>
                    <m:r>
                      <m:rPr>
                        <m:sty m:val="b"/>
                      </m:rPr>
                      <w:rPr>
                        <w:rFonts w:ascii="Cambria Math" w:hAnsi="Cambria Math"/>
                        <w:color w:val="auto"/>
                      </w:rPr>
                      <m:t>S</m:t>
                    </m:r>
                  </m:e>
                  <m:sub>
                    <m:r>
                      <m:rPr>
                        <m:sty m:val="b"/>
                      </m:rPr>
                      <w:rPr>
                        <w:rFonts w:ascii="Cambria Math" w:hAnsi="Cambria Math"/>
                        <w:color w:val="auto"/>
                      </w:rPr>
                      <m:t>m</m:t>
                    </m:r>
                  </m:sub>
                  <m:sup>
                    <m:r>
                      <m:rPr>
                        <m:sty m:val="b"/>
                      </m:rPr>
                      <w:rPr>
                        <w:rFonts w:ascii="Cambria Math" w:hAnsi="Cambria Math"/>
                        <w:color w:val="auto"/>
                      </w:rPr>
                      <m:t>0</m:t>
                    </m:r>
                  </m:sup>
                </m:sSubSup>
                <m:r>
                  <m:rPr>
                    <m:sty m:val="b"/>
                  </m:rPr>
                  <w:rPr>
                    <w:rFonts w:ascii="Cambria Math" w:hAnsi="Cambria Math"/>
                    <w:color w:val="auto"/>
                  </w:rPr>
                  <m:t xml:space="preserve"> in J∙</m:t>
                </m:r>
                <m:sSup>
                  <m:sSupPr>
                    <m:ctrlPr>
                      <w:rPr>
                        <w:rFonts w:ascii="Cambria Math" w:hAnsi="Cambria Math"/>
                        <w:b/>
                        <w:color w:val="auto"/>
                      </w:rPr>
                    </m:ctrlPr>
                  </m:sSupPr>
                  <m:e>
                    <m:r>
                      <m:rPr>
                        <m:sty m:val="b"/>
                      </m:rPr>
                      <w:rPr>
                        <w:rFonts w:ascii="Cambria Math" w:hAnsi="Cambria Math"/>
                        <w:color w:val="auto"/>
                      </w:rPr>
                      <m:t>K</m:t>
                    </m:r>
                  </m:e>
                  <m:sup>
                    <m:r>
                      <m:rPr>
                        <m:sty m:val="b"/>
                      </m:rPr>
                      <w:rPr>
                        <w:rFonts w:ascii="Cambria Math" w:hAnsi="Cambria Math"/>
                        <w:color w:val="auto"/>
                      </w:rPr>
                      <m:t>-1</m:t>
                    </m:r>
                  </m:sup>
                </m:sSup>
                <m:r>
                  <m:rPr>
                    <m:sty m:val="b"/>
                  </m:rPr>
                  <w:rPr>
                    <w:rFonts w:ascii="Cambria Math" w:hAnsi="Cambria Math"/>
                    <w:color w:val="auto"/>
                  </w:rPr>
                  <m:t>∙</m:t>
                </m:r>
                <m:sSup>
                  <m:sSupPr>
                    <m:ctrlPr>
                      <w:rPr>
                        <w:rFonts w:ascii="Cambria Math" w:hAnsi="Cambria Math"/>
                        <w:b/>
                        <w:color w:val="auto"/>
                      </w:rPr>
                    </m:ctrlPr>
                  </m:sSupPr>
                  <m:e>
                    <m:r>
                      <m:rPr>
                        <m:sty m:val="b"/>
                      </m:rPr>
                      <w:rPr>
                        <w:rFonts w:ascii="Cambria Math" w:hAnsi="Cambria Math"/>
                        <w:color w:val="auto"/>
                      </w:rPr>
                      <m:t>mol</m:t>
                    </m:r>
                  </m:e>
                  <m:sup>
                    <m:r>
                      <m:rPr>
                        <m:sty m:val="b"/>
                      </m:rPr>
                      <w:rPr>
                        <w:rFonts w:ascii="Cambria Math" w:hAnsi="Cambria Math"/>
                        <w:color w:val="auto"/>
                      </w:rPr>
                      <m:t>-1</m:t>
                    </m:r>
                  </m:sup>
                </m:sSup>
              </m:oMath>
            </m:oMathPara>
          </w:p>
        </w:tc>
        <w:tc>
          <w:tcPr>
            <w:tcW w:w="2265" w:type="dxa"/>
          </w:tcPr>
          <w:p w:rsidR="00AA641B" w:rsidRPr="00AA641B" w:rsidRDefault="00AA641B" w:rsidP="00D7233A">
            <w:pPr>
              <w:jc w:val="center"/>
              <w:rPr>
                <w:b/>
                <w:color w:val="auto"/>
              </w:rPr>
            </w:pPr>
            <w:r w:rsidRPr="00AA641B">
              <w:rPr>
                <w:b/>
                <w:color w:val="auto"/>
              </w:rPr>
              <w:t>95</w:t>
            </w:r>
          </w:p>
        </w:tc>
        <w:tc>
          <w:tcPr>
            <w:tcW w:w="2266" w:type="dxa"/>
          </w:tcPr>
          <w:p w:rsidR="00AA641B" w:rsidRPr="00AA641B" w:rsidRDefault="00AA641B" w:rsidP="00D7233A">
            <w:pPr>
              <w:jc w:val="center"/>
              <w:rPr>
                <w:b/>
                <w:color w:val="auto"/>
              </w:rPr>
            </w:pPr>
            <w:r w:rsidRPr="00AA641B">
              <w:rPr>
                <w:b/>
                <w:color w:val="auto"/>
              </w:rPr>
              <w:t>193</w:t>
            </w:r>
          </w:p>
        </w:tc>
        <w:tc>
          <w:tcPr>
            <w:tcW w:w="2266" w:type="dxa"/>
          </w:tcPr>
          <w:p w:rsidR="00AA641B" w:rsidRPr="00AA641B" w:rsidRDefault="00AA641B" w:rsidP="00D7233A">
            <w:pPr>
              <w:jc w:val="center"/>
              <w:rPr>
                <w:b/>
                <w:color w:val="auto"/>
              </w:rPr>
            </w:pPr>
            <w:r w:rsidRPr="00AA641B">
              <w:rPr>
                <w:b/>
                <w:color w:val="auto"/>
              </w:rPr>
              <w:t>187</w:t>
            </w:r>
          </w:p>
        </w:tc>
      </w:tr>
    </w:tbl>
    <w:p w:rsidR="00AA641B" w:rsidRPr="00AA641B" w:rsidRDefault="00AA641B" w:rsidP="00AA641B">
      <w:pPr>
        <w:spacing w:after="0"/>
        <w:rPr>
          <w:b/>
          <w:color w:val="auto"/>
        </w:rPr>
      </w:pPr>
    </w:p>
    <w:p w:rsidR="00AA641B" w:rsidRPr="00AA641B" w:rsidRDefault="00AA641B" w:rsidP="00AA641B">
      <w:pPr>
        <w:spacing w:after="0"/>
        <w:rPr>
          <w:b/>
          <w:color w:val="auto"/>
        </w:rPr>
      </w:pPr>
    </w:p>
    <w:p w:rsidR="00AA641B" w:rsidRPr="00AA641B" w:rsidRDefault="00AA641B" w:rsidP="00AA641B">
      <w:pPr>
        <w:spacing w:after="0"/>
        <w:ind w:left="2124" w:hanging="2124"/>
        <w:rPr>
          <w:color w:val="auto"/>
        </w:rPr>
      </w:pPr>
      <w:r w:rsidRPr="00AA641B">
        <w:rPr>
          <w:b/>
          <w:color w:val="auto"/>
          <w:u w:val="single"/>
        </w:rPr>
        <w:t>Aufgabe 3:</w:t>
      </w:r>
      <w:r w:rsidRPr="00AA641B">
        <w:rPr>
          <w:color w:val="auto"/>
        </w:rPr>
        <w:tab/>
        <w:t>Diskutieren Sie, inwiefern die Temperatur Einfluss auf den freiwilligen Ablauf einer Reaktion hat. Was bedeutet das für den konkreten Fall aus Aufgabe 2? Was ändert sich bei Betrachtung eines offenen im Gegensatz zu einem geschlossenen System?</w:t>
      </w:r>
    </w:p>
    <w:p w:rsidR="00AA641B" w:rsidRPr="00AA641B" w:rsidRDefault="00AA641B" w:rsidP="00AA641B">
      <w:pPr>
        <w:rPr>
          <w:color w:val="auto"/>
        </w:rPr>
      </w:pPr>
    </w:p>
    <w:p w:rsidR="00AA641B" w:rsidRPr="00AA641B" w:rsidRDefault="00AA641B" w:rsidP="00AA641B">
      <w:pPr>
        <w:rPr>
          <w:color w:val="auto"/>
        </w:rPr>
      </w:pPr>
    </w:p>
    <w:p w:rsidR="00AA641B" w:rsidRPr="00AA641B" w:rsidRDefault="00AA641B" w:rsidP="00AA641B">
      <w:r w:rsidRPr="00AA641B">
        <w:rPr>
          <w:noProof/>
          <w:lang w:eastAsia="de-DE"/>
        </w:rPr>
        <mc:AlternateContent>
          <mc:Choice Requires="wps">
            <w:drawing>
              <wp:anchor distT="0" distB="0" distL="114300" distR="114300" simplePos="0" relativeHeight="251660288" behindDoc="0" locked="0" layoutInCell="1" allowOverlap="1" wp14:anchorId="54EE5C65" wp14:editId="575B67B5">
                <wp:simplePos x="0" y="0"/>
                <wp:positionH relativeFrom="column">
                  <wp:posOffset>2662555</wp:posOffset>
                </wp:positionH>
                <wp:positionV relativeFrom="paragraph">
                  <wp:posOffset>2674620</wp:posOffset>
                </wp:positionV>
                <wp:extent cx="428625" cy="238125"/>
                <wp:effectExtent l="0" t="0" r="28575" b="28575"/>
                <wp:wrapNone/>
                <wp:docPr id="1" name="Rechteck 1"/>
                <wp:cNvGraphicFramePr/>
                <a:graphic xmlns:a="http://schemas.openxmlformats.org/drawingml/2006/main">
                  <a:graphicData uri="http://schemas.microsoft.com/office/word/2010/wordprocessingShape">
                    <wps:wsp>
                      <wps:cNvSpPr/>
                      <wps:spPr>
                        <a:xfrm>
                          <a:off x="0" y="0"/>
                          <a:ext cx="428625" cy="23812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CF4FF3" id="Rechteck 1" o:spid="_x0000_s1026" style="position:absolute;margin-left:209.65pt;margin-top:210.6pt;width:33.75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" fillcolor="white [3212]" strokecolor="white [3212]" strokeweight="1pt"/>
            </w:pict>
          </mc:Fallback>
        </mc:AlternateContent>
      </w:r>
      <w:r w:rsidRPr="00AA641B">
        <w:t xml:space="preserve"> </w:t>
      </w:r>
    </w:p>
    <w:p w:rsidR="00AA641B" w:rsidRPr="00AA641B" w:rsidRDefault="00AA641B" w:rsidP="00AA641B"/>
    <w:p w:rsidR="00AA641B" w:rsidRPr="00AA641B" w:rsidRDefault="00AA641B" w:rsidP="00AA641B"/>
    <w:p w:rsidR="00AA641B" w:rsidRPr="00AA641B" w:rsidRDefault="00AA641B" w:rsidP="00AA641B"/>
    <w:p w:rsidR="00AA641B" w:rsidRPr="00AA641B" w:rsidRDefault="00AA641B" w:rsidP="00AA641B"/>
    <w:p w:rsidR="00AA641B" w:rsidRPr="00AA641B" w:rsidRDefault="00AA641B" w:rsidP="00AA641B">
      <w:pPr>
        <w:jc w:val="center"/>
      </w:pPr>
    </w:p>
    <w:p w:rsidR="00AA641B" w:rsidRPr="00AA641B" w:rsidRDefault="00AA641B" w:rsidP="00AA641B">
      <w:pPr>
        <w:pStyle w:val="berschrift1"/>
        <w:numPr>
          <w:ilvl w:val="0"/>
          <w:numId w:val="0"/>
        </w:numPr>
        <w:ind w:left="432" w:hanging="432"/>
        <w:rPr>
          <w:rFonts w:ascii="Cambria" w:hAnsi="Cambria"/>
          <w:color w:val="auto"/>
        </w:rPr>
      </w:pPr>
      <w:bookmarkStart w:id="1" w:name="_Toc458443111"/>
      <w:r w:rsidRPr="00AA641B">
        <w:rPr>
          <w:rFonts w:ascii="Cambria" w:hAnsi="Cambria"/>
          <w:color w:val="auto"/>
        </w:rPr>
        <w:lastRenderedPageBreak/>
        <w:t>Didaktischer Kommentar zum Schülerarbeitsblatt</w:t>
      </w:r>
      <w:bookmarkEnd w:id="1"/>
    </w:p>
    <w:p w:rsidR="00AA641B" w:rsidRPr="00AA641B" w:rsidRDefault="00AA641B" w:rsidP="00AA641B">
      <w:pPr>
        <w:rPr>
          <w:color w:val="auto"/>
        </w:rPr>
      </w:pPr>
      <w:r w:rsidRPr="00AA641B">
        <w:rPr>
          <w:color w:val="auto"/>
        </w:rPr>
        <w:t>Voraussetzung für die Bearbeitung der Aufgaben ist, dass zuvor die Gibbs-Helmholtz-Gleichung eingeführt wurde. Das Hauptlernziel ist die Durchführung von Berechnungen mithilfe dieser. Durch die konkrete Anwendung auf eine vorgegebene Reaktion wird zudem das Ablesen von Daten geschult. Aus den Standard-Bildungsenthalpien sind hierbei zunächst die Standard-Reaktionsenthalpien zu berechnen.  Außerdem soll die Verknüpfung von Enthalpie und Entropie anhand eines Beispiels verdeutlicht werden.</w:t>
      </w:r>
    </w:p>
    <w:p w:rsidR="00AA641B" w:rsidRPr="00AA641B" w:rsidRDefault="00AA641B" w:rsidP="00AA641B">
      <w:pPr>
        <w:pStyle w:val="berschrift2"/>
        <w:numPr>
          <w:ilvl w:val="0"/>
          <w:numId w:val="0"/>
        </w:numPr>
        <w:ind w:left="576" w:hanging="576"/>
        <w:rPr>
          <w:rFonts w:ascii="Cambria" w:hAnsi="Cambria"/>
          <w:color w:val="auto"/>
        </w:rPr>
      </w:pPr>
      <w:bookmarkStart w:id="2" w:name="_Toc458443112"/>
      <w:r w:rsidRPr="00AA641B">
        <w:rPr>
          <w:rFonts w:ascii="Cambria" w:hAnsi="Cambria"/>
          <w:color w:val="auto"/>
        </w:rPr>
        <w:t>Erwartungshorizont (Kerncurriculum)</w:t>
      </w:r>
      <w:bookmarkEnd w:id="2"/>
    </w:p>
    <w:p w:rsidR="00AA641B" w:rsidRPr="00AA641B" w:rsidRDefault="00AA641B" w:rsidP="00AA641B">
      <w:pPr>
        <w:tabs>
          <w:tab w:val="left" w:pos="0"/>
        </w:tabs>
        <w:rPr>
          <w:color w:val="auto"/>
        </w:rPr>
      </w:pPr>
      <w:r w:rsidRPr="00AA641B">
        <w:rPr>
          <w:color w:val="auto"/>
        </w:rPr>
        <w:t>Sämtliche Aufgaben sind dem Basiskonzept Energie unterzuordnen.</w:t>
      </w:r>
    </w:p>
    <w:p w:rsidR="00AA641B" w:rsidRPr="00AA641B" w:rsidRDefault="00AA641B" w:rsidP="00AA641B">
      <w:pPr>
        <w:tabs>
          <w:tab w:val="left" w:pos="0"/>
        </w:tabs>
        <w:rPr>
          <w:color w:val="auto"/>
        </w:rPr>
      </w:pPr>
      <w:r w:rsidRPr="00AA641B">
        <w:rPr>
          <w:color w:val="auto"/>
          <w:u w:val="single"/>
        </w:rPr>
        <w:t>Aufgabe 1:</w:t>
      </w:r>
      <w:r w:rsidRPr="00AA641B">
        <w:rPr>
          <w:color w:val="auto"/>
        </w:rPr>
        <w:t xml:space="preserve"> </w:t>
      </w:r>
    </w:p>
    <w:p w:rsidR="00AA641B" w:rsidRPr="00AA641B" w:rsidRDefault="00AA641B" w:rsidP="00AA641B">
      <w:pPr>
        <w:tabs>
          <w:tab w:val="left" w:pos="0"/>
        </w:tabs>
        <w:rPr>
          <w:color w:val="auto"/>
        </w:rPr>
      </w:pPr>
      <w:r w:rsidRPr="00AA641B">
        <w:rPr>
          <w:color w:val="auto"/>
        </w:rPr>
        <w:t>Fachwissen:</w:t>
      </w:r>
      <w:r w:rsidRPr="00AA641B">
        <w:rPr>
          <w:color w:val="auto"/>
        </w:rPr>
        <w:tab/>
      </w:r>
      <w:r w:rsidRPr="00AA641B">
        <w:rPr>
          <w:color w:val="auto"/>
        </w:rPr>
        <w:tab/>
      </w:r>
      <w:r w:rsidRPr="00AA641B">
        <w:rPr>
          <w:color w:val="auto"/>
        </w:rPr>
        <w:tab/>
        <w:t>Die SuS nennen die Gibbs-Helmholtz-Gleichung (eA).</w:t>
      </w:r>
    </w:p>
    <w:p w:rsidR="00AA641B" w:rsidRPr="00AA641B" w:rsidRDefault="00AA641B" w:rsidP="00AA641B">
      <w:pPr>
        <w:tabs>
          <w:tab w:val="left" w:pos="0"/>
        </w:tabs>
        <w:rPr>
          <w:color w:val="auto"/>
        </w:rPr>
      </w:pPr>
      <w:r w:rsidRPr="00AA641B">
        <w:rPr>
          <w:color w:val="auto"/>
        </w:rPr>
        <w:t>→ Anforderungsbereich I, da die SuS lediglich die Definition wiedergeben müssen.</w:t>
      </w:r>
    </w:p>
    <w:p w:rsidR="00AA641B" w:rsidRPr="00AA641B" w:rsidRDefault="00AA641B" w:rsidP="00AA641B">
      <w:pPr>
        <w:tabs>
          <w:tab w:val="left" w:pos="0"/>
        </w:tabs>
        <w:rPr>
          <w:color w:val="auto"/>
        </w:rPr>
      </w:pPr>
    </w:p>
    <w:p w:rsidR="00AA641B" w:rsidRPr="00AA641B" w:rsidRDefault="00AA641B" w:rsidP="00AA641B">
      <w:pPr>
        <w:tabs>
          <w:tab w:val="left" w:pos="0"/>
        </w:tabs>
        <w:rPr>
          <w:color w:val="auto"/>
        </w:rPr>
      </w:pPr>
      <w:r w:rsidRPr="00AA641B">
        <w:rPr>
          <w:color w:val="auto"/>
          <w:u w:val="single"/>
        </w:rPr>
        <w:t>Aufgabe 2:</w:t>
      </w:r>
    </w:p>
    <w:p w:rsidR="00AA641B" w:rsidRPr="00AA641B" w:rsidRDefault="00AA641B" w:rsidP="00AA641B">
      <w:pPr>
        <w:tabs>
          <w:tab w:val="left" w:pos="0"/>
        </w:tabs>
        <w:ind w:left="2832" w:hanging="2832"/>
        <w:rPr>
          <w:color w:val="auto"/>
        </w:rPr>
      </w:pPr>
      <w:r w:rsidRPr="00AA641B">
        <w:rPr>
          <w:color w:val="auto"/>
        </w:rPr>
        <w:t>Erkenntnisgewinnung:</w:t>
      </w:r>
      <w:r w:rsidRPr="00AA641B">
        <w:rPr>
          <w:color w:val="auto"/>
        </w:rPr>
        <w:tab/>
        <w:t>Die SuS nutzen tabellierte Daten zur Berechnung von Standard-Reaktionsenthalpien aus Standard-Bildungsenthalpien.</w:t>
      </w:r>
    </w:p>
    <w:p w:rsidR="00AA641B" w:rsidRPr="00AA641B" w:rsidRDefault="00AA641B" w:rsidP="00AA641B">
      <w:pPr>
        <w:tabs>
          <w:tab w:val="left" w:pos="0"/>
        </w:tabs>
        <w:ind w:left="2832" w:hanging="2832"/>
        <w:rPr>
          <w:color w:val="auto"/>
        </w:rPr>
      </w:pPr>
      <w:r w:rsidRPr="00AA641B">
        <w:rPr>
          <w:color w:val="auto"/>
        </w:rPr>
        <w:tab/>
        <w:t>Die SuS führen Berechnungen mit der Gibbs-Helmholtz-Gleichung durch (eA).</w:t>
      </w:r>
    </w:p>
    <w:p w:rsidR="00AA641B" w:rsidRPr="00AA641B" w:rsidRDefault="00AA641B" w:rsidP="00AA641B">
      <w:pPr>
        <w:tabs>
          <w:tab w:val="left" w:pos="0"/>
        </w:tabs>
        <w:ind w:left="2832" w:hanging="2832"/>
        <w:rPr>
          <w:color w:val="auto"/>
        </w:rPr>
      </w:pPr>
      <w:r w:rsidRPr="00AA641B">
        <w:rPr>
          <w:color w:val="auto"/>
        </w:rPr>
        <w:t>→ Anforderungsbereich II, da die SuS Berechnungen mithilfe zentraler Formeln anstellen müssen.</w:t>
      </w:r>
    </w:p>
    <w:p w:rsidR="00AA641B" w:rsidRPr="00AA641B" w:rsidRDefault="00AA641B" w:rsidP="00AA641B">
      <w:pPr>
        <w:tabs>
          <w:tab w:val="left" w:pos="0"/>
        </w:tabs>
        <w:ind w:left="2832" w:hanging="2832"/>
        <w:rPr>
          <w:color w:val="auto"/>
        </w:rPr>
      </w:pPr>
    </w:p>
    <w:p w:rsidR="00AA641B" w:rsidRPr="00AA641B" w:rsidRDefault="00AA641B" w:rsidP="00AA641B">
      <w:pPr>
        <w:tabs>
          <w:tab w:val="left" w:pos="0"/>
        </w:tabs>
        <w:ind w:left="2832" w:hanging="2832"/>
        <w:rPr>
          <w:color w:val="auto"/>
          <w:u w:val="single"/>
        </w:rPr>
      </w:pPr>
      <w:r w:rsidRPr="00AA641B">
        <w:rPr>
          <w:color w:val="auto"/>
          <w:u w:val="single"/>
        </w:rPr>
        <w:t>Aufgabe 3:</w:t>
      </w:r>
    </w:p>
    <w:p w:rsidR="00AA641B" w:rsidRPr="00AA641B" w:rsidRDefault="00AA641B" w:rsidP="00AA641B">
      <w:pPr>
        <w:tabs>
          <w:tab w:val="left" w:pos="0"/>
        </w:tabs>
        <w:ind w:left="2832" w:hanging="2832"/>
        <w:rPr>
          <w:color w:val="auto"/>
        </w:rPr>
      </w:pPr>
      <w:r w:rsidRPr="00AA641B">
        <w:rPr>
          <w:color w:val="auto"/>
        </w:rPr>
        <w:t>Bewertung:</w:t>
      </w:r>
      <w:r w:rsidRPr="00AA641B">
        <w:rPr>
          <w:color w:val="auto"/>
        </w:rPr>
        <w:tab/>
        <w:t>Die SuS müssen die Aussage der Gibbs-Helmholtz-Gleichung sowie die Einflüsse der einzelnen Parameter verstanden haben. Weiterhin ist der Transfer auf den Einfluss der Umgebung notwendig.</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
        <w:gridCol w:w="8671"/>
      </w:tblGrid>
      <w:tr w:rsidR="00AA641B" w:rsidRPr="00AA641B" w:rsidTr="00D7233A">
        <w:tc>
          <w:tcPr>
            <w:tcW w:w="0" w:type="auto"/>
          </w:tcPr>
          <w:p w:rsidR="00AA641B" w:rsidRPr="00AA641B" w:rsidRDefault="00AA641B" w:rsidP="00D7233A">
            <w:pPr>
              <w:tabs>
                <w:tab w:val="left" w:pos="0"/>
              </w:tabs>
              <w:rPr>
                <w:color w:val="auto"/>
              </w:rPr>
            </w:pPr>
            <w:r w:rsidRPr="00AA641B">
              <w:rPr>
                <w:color w:val="auto"/>
              </w:rPr>
              <w:t>→</w:t>
            </w:r>
          </w:p>
        </w:tc>
        <w:tc>
          <w:tcPr>
            <w:tcW w:w="0" w:type="auto"/>
          </w:tcPr>
          <w:p w:rsidR="00AA641B" w:rsidRPr="00AA641B" w:rsidRDefault="00AA641B" w:rsidP="00D7233A">
            <w:pPr>
              <w:tabs>
                <w:tab w:val="left" w:pos="0"/>
              </w:tabs>
              <w:rPr>
                <w:color w:val="auto"/>
              </w:rPr>
            </w:pPr>
            <w:r w:rsidRPr="00AA641B">
              <w:rPr>
                <w:color w:val="auto"/>
              </w:rPr>
              <w:t>Anforderungsbereich III, da die SuS das Verständnis für die Zusammenhänge zwischen Enthalpie, Entropie und Umgebung zum Bearbeiten der Aufgabe aufbringen müssen.</w:t>
            </w:r>
          </w:p>
          <w:p w:rsidR="00AA641B" w:rsidRPr="00AA641B" w:rsidRDefault="00AA641B" w:rsidP="00D7233A">
            <w:pPr>
              <w:tabs>
                <w:tab w:val="left" w:pos="0"/>
              </w:tabs>
              <w:rPr>
                <w:color w:val="auto"/>
              </w:rPr>
            </w:pPr>
          </w:p>
        </w:tc>
      </w:tr>
    </w:tbl>
    <w:p w:rsidR="00AA641B" w:rsidRPr="00AA641B" w:rsidRDefault="00AA641B" w:rsidP="00AA641B">
      <w:pPr>
        <w:pStyle w:val="berschrift2"/>
        <w:numPr>
          <w:ilvl w:val="0"/>
          <w:numId w:val="0"/>
        </w:numPr>
        <w:ind w:left="576" w:hanging="576"/>
        <w:rPr>
          <w:rFonts w:ascii="Cambria" w:hAnsi="Cambria"/>
          <w:color w:val="auto"/>
        </w:rPr>
      </w:pPr>
      <w:bookmarkStart w:id="3" w:name="_Toc458443113"/>
      <w:r w:rsidRPr="00AA641B">
        <w:rPr>
          <w:rFonts w:ascii="Cambria" w:hAnsi="Cambria"/>
          <w:color w:val="auto"/>
        </w:rPr>
        <w:lastRenderedPageBreak/>
        <w:t>Erwartungshorizont (Inhaltlich)</w:t>
      </w:r>
      <w:bookmarkEnd w:id="3"/>
    </w:p>
    <w:p w:rsidR="00AA641B" w:rsidRPr="00AA641B" w:rsidRDefault="00AA641B" w:rsidP="00AA641B">
      <w:pPr>
        <w:rPr>
          <w:color w:val="auto"/>
          <w:u w:val="single"/>
        </w:rPr>
      </w:pPr>
      <w:r w:rsidRPr="00AA641B">
        <w:rPr>
          <w:color w:val="auto"/>
          <w:u w:val="single"/>
        </w:rPr>
        <w:t>Aufgabe 1:</w:t>
      </w:r>
      <w:r w:rsidRPr="00AA641B">
        <w:rPr>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-T ∙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oMath>
    </w:p>
    <w:p w:rsidR="00AA641B" w:rsidRPr="00AA641B" w:rsidRDefault="00AA641B" w:rsidP="00AA641B">
      <w:pPr>
        <w:tabs>
          <w:tab w:val="center" w:pos="4536"/>
        </w:tabs>
        <w:rPr>
          <w:color w:val="auto"/>
          <w:u w:val="single"/>
        </w:rPr>
      </w:pPr>
      <w:r w:rsidRPr="00AA641B">
        <w:rPr>
          <w:color w:val="auto"/>
          <w:u w:val="single"/>
        </w:rPr>
        <w:t>Aufgabe 2:</w:t>
      </w:r>
    </w:p>
    <w:p w:rsidR="00AA641B" w:rsidRPr="00AA641B" w:rsidRDefault="00AA641B" w:rsidP="00AA641B">
      <w:pPr>
        <w:pStyle w:val="Listenabsatz"/>
        <w:numPr>
          <w:ilvl w:val="0"/>
          <w:numId w:val="3"/>
        </w:numPr>
        <w:rPr>
          <w:rFonts w:ascii="Cambria" w:hAnsi="Cambria"/>
          <w:color w:val="auto"/>
          <w:u w:val="single"/>
        </w:rPr>
      </w:pPr>
      <m:oMath>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4</m:t>
            </m:r>
          </m:sub>
        </m:sSub>
        <m:sSub>
          <m:sSubPr>
            <m:ctrlPr>
              <w:rPr>
                <w:rFonts w:ascii="Cambria Math" w:hAnsi="Cambria Math"/>
                <w:color w:val="auto"/>
              </w:rPr>
            </m:ctrlPr>
          </m:sSubPr>
          <m:e>
            <m:r>
              <m:rPr>
                <m:sty m:val="p"/>
              </m:rPr>
              <w:rPr>
                <w:rFonts w:ascii="Cambria Math" w:hAnsi="Cambria Math"/>
                <w:color w:val="auto"/>
              </w:rPr>
              <m:t>Cl</m:t>
            </m:r>
          </m:e>
          <m:sub>
            <m:r>
              <m:rPr>
                <m:sty m:val="p"/>
              </m:rPr>
              <w:rPr>
                <w:rFonts w:ascii="Cambria Math" w:hAnsi="Cambria Math"/>
                <w:color w:val="auto"/>
              </w:rPr>
              <m:t>(s)</m:t>
            </m:r>
          </m:sub>
        </m:sSub>
        <m:r>
          <m:rPr>
            <m:sty m:val="p"/>
          </m:rPr>
          <w:rPr>
            <w:rFonts w:ascii="Cambria Math" w:hAnsi="Cambria Math"/>
            <w:color w:val="auto"/>
          </w:rPr>
          <m:t xml:space="preserve"> ⇌ </m:t>
        </m:r>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3 (g)</m:t>
            </m:r>
          </m:sub>
        </m:sSub>
        <m:r>
          <m:rPr>
            <m:sty m:val="p"/>
          </m:rP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HCl</m:t>
            </m:r>
          </m:e>
          <m:sub>
            <m:r>
              <m:rPr>
                <m:sty m:val="p"/>
              </m:rPr>
              <w:rPr>
                <w:rFonts w:ascii="Cambria Math" w:hAnsi="Cambria Math"/>
                <w:color w:val="auto"/>
              </w:rPr>
              <m:t>(g)</m:t>
            </m:r>
          </m:sub>
        </m:sSub>
      </m:oMath>
    </w:p>
    <w:p w:rsidR="00AA641B" w:rsidRPr="00AA641B" w:rsidRDefault="00AA641B" w:rsidP="00AA641B">
      <w:pPr>
        <w:pStyle w:val="Listenabsatz"/>
        <w:ind w:left="1068"/>
        <w:rPr>
          <w:rFonts w:ascii="Cambria" w:eastAsiaTheme="minorEastAsia" w:hAnsi="Cambria"/>
          <w:color w:val="auto"/>
        </w:rPr>
      </w:pPr>
      <m:oMathPara>
        <m:oMathParaPr>
          <m:jc m:val="left"/>
        </m:oMathParaP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d>
            <m:dPr>
              <m:begChr m:val="["/>
              <m:endChr m:val="]"/>
              <m:ctrlPr>
                <w:rPr>
                  <w:rFonts w:ascii="Cambria Math" w:hAnsi="Cambria Math"/>
                  <w:color w:val="auto"/>
                </w:rPr>
              </m:ctrlPr>
            </m:dPr>
            <m:e>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f</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3 (g)</m:t>
                      </m:r>
                    </m:sub>
                  </m:sSub>
                </m:e>
              </m:d>
              <m: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f</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HCl</m:t>
                      </m:r>
                    </m:e>
                    <m:sub>
                      <m:r>
                        <m:rPr>
                          <m:sty m:val="p"/>
                        </m:rPr>
                        <w:rPr>
                          <w:rFonts w:ascii="Cambria Math" w:hAnsi="Cambria Math"/>
                          <w:color w:val="auto"/>
                        </w:rPr>
                        <m:t>(g)</m:t>
                      </m:r>
                    </m:sub>
                  </m:sSub>
                </m:e>
              </m:d>
              <m:r>
                <w:rPr>
                  <w:rFonts w:ascii="Cambria Math" w:hAnsi="Cambria Math"/>
                  <w:color w:val="auto"/>
                </w:rPr>
                <m:t xml:space="preserve"> </m:t>
              </m:r>
            </m:e>
          </m:d>
          <m:r>
            <w:rPr>
              <w:rFonts w:ascii="Cambria Math" w:hAnsi="Cambria Math"/>
              <w:color w:val="auto"/>
            </w:rPr>
            <m:t>-</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f</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4</m:t>
                  </m:r>
                </m:sub>
              </m:sSub>
              <m:sSub>
                <m:sSubPr>
                  <m:ctrlPr>
                    <w:rPr>
                      <w:rFonts w:ascii="Cambria Math" w:hAnsi="Cambria Math"/>
                      <w:color w:val="auto"/>
                    </w:rPr>
                  </m:ctrlPr>
                </m:sSubPr>
                <m:e>
                  <m:r>
                    <m:rPr>
                      <m:sty m:val="p"/>
                    </m:rPr>
                    <w:rPr>
                      <w:rFonts w:ascii="Cambria Math" w:hAnsi="Cambria Math"/>
                      <w:color w:val="auto"/>
                    </w:rPr>
                    <m:t>Cl</m:t>
                  </m:r>
                </m:e>
                <m:sub>
                  <m:r>
                    <m:rPr>
                      <m:sty m:val="p"/>
                    </m:rPr>
                    <w:rPr>
                      <w:rFonts w:ascii="Cambria Math" w:hAnsi="Cambria Math"/>
                      <w:color w:val="auto"/>
                    </w:rPr>
                    <m:t>(s)</m:t>
                  </m:r>
                </m:sub>
              </m:sSub>
            </m:e>
          </m:d>
        </m:oMath>
      </m:oMathPara>
    </w:p>
    <w:p w:rsidR="00AA641B" w:rsidRPr="00AA641B" w:rsidRDefault="00AA641B" w:rsidP="00AA641B">
      <w:pPr>
        <w:pStyle w:val="Listenabsatz"/>
        <w:ind w:left="1068"/>
        <w:rPr>
          <w:rFonts w:ascii="Cambria" w:eastAsiaTheme="minorEastAsia" w:hAnsi="Cambria"/>
          <w:color w:val="auto"/>
        </w:rPr>
      </w:pPr>
      <w:r w:rsidRPr="00AA641B">
        <w:rPr>
          <w:rFonts w:ascii="Cambria" w:eastAsiaTheme="minorEastAsia" w:hAnsi="Cambria"/>
          <w:color w:val="auto"/>
        </w:rPr>
        <w:tab/>
        <w:t xml:space="preserve">     </w:t>
      </w:r>
      <m:oMath>
        <m:r>
          <m:rPr>
            <m:sty m:val="p"/>
          </m:rPr>
          <w:rPr>
            <w:rFonts w:ascii="Cambria Math" w:hAnsi="Cambria Math"/>
            <w:color w:val="auto"/>
          </w:rPr>
          <m:t xml:space="preserve">= </m:t>
        </m:r>
        <m:d>
          <m:dPr>
            <m:begChr m:val="["/>
            <m:endChr m:val="]"/>
            <m:ctrlPr>
              <w:rPr>
                <w:rFonts w:ascii="Cambria Math" w:hAnsi="Cambria Math"/>
                <w:color w:val="auto"/>
              </w:rPr>
            </m:ctrlPr>
          </m:dPr>
          <m:e>
            <m:d>
              <m:dPr>
                <m:ctrlPr>
                  <w:rPr>
                    <w:rFonts w:ascii="Cambria Math" w:hAnsi="Cambria Math"/>
                    <w:i/>
                    <w:color w:val="auto"/>
                  </w:rPr>
                </m:ctrlPr>
              </m:dPr>
              <m:e>
                <m:r>
                  <w:rPr>
                    <w:rFonts w:ascii="Cambria Math" w:hAnsi="Cambria Math"/>
                    <w:color w:val="auto"/>
                  </w:rPr>
                  <m:t xml:space="preserve">-46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r>
              <w:rPr>
                <w:rFonts w:ascii="Cambria Math" w:hAnsi="Cambria Math"/>
                <w:color w:val="auto"/>
              </w:rPr>
              <m:t>+</m:t>
            </m:r>
            <m:d>
              <m:dPr>
                <m:ctrlPr>
                  <w:rPr>
                    <w:rFonts w:ascii="Cambria Math" w:hAnsi="Cambria Math"/>
                    <w:i/>
                    <w:color w:val="auto"/>
                  </w:rPr>
                </m:ctrlPr>
              </m:dPr>
              <m:e>
                <m:r>
                  <w:rPr>
                    <w:rFonts w:ascii="Cambria Math" w:hAnsi="Cambria Math"/>
                    <w:color w:val="auto"/>
                  </w:rPr>
                  <m:t xml:space="preserve">-92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e>
        </m:d>
        <m:r>
          <w:rPr>
            <w:rFonts w:ascii="Cambria Math" w:hAnsi="Cambria Math"/>
            <w:color w:val="auto"/>
          </w:rPr>
          <m:t xml:space="preserve">- </m:t>
        </m:r>
        <m:d>
          <m:dPr>
            <m:ctrlPr>
              <w:rPr>
                <w:rFonts w:ascii="Cambria Math" w:hAnsi="Cambria Math"/>
                <w:i/>
                <w:color w:val="auto"/>
              </w:rPr>
            </m:ctrlPr>
          </m:dPr>
          <m:e>
            <m:r>
              <w:rPr>
                <w:rFonts w:ascii="Cambria Math" w:hAnsi="Cambria Math"/>
                <w:color w:val="auto"/>
              </w:rPr>
              <m:t xml:space="preserve">-314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oMath>
      <w:r w:rsidRPr="00AA641B">
        <w:rPr>
          <w:rFonts w:ascii="Cambria" w:eastAsiaTheme="minorEastAsia" w:hAnsi="Cambria"/>
          <w:color w:val="auto"/>
        </w:rPr>
        <w:t xml:space="preserve"> </w:t>
      </w:r>
      <w:r w:rsidRPr="00AA641B">
        <w:rPr>
          <w:rFonts w:ascii="Cambria" w:eastAsiaTheme="minorEastAsia" w:hAnsi="Cambria"/>
          <w:color w:val="auto"/>
        </w:rPr>
        <w:tab/>
      </w:r>
      <w:r w:rsidRPr="00AA641B">
        <w:rPr>
          <w:rFonts w:ascii="Cambria" w:eastAsiaTheme="minorEastAsia" w:hAnsi="Cambria"/>
          <w:color w:val="auto"/>
        </w:rPr>
        <w:tab/>
      </w:r>
      <w:r w:rsidRPr="00AA641B">
        <w:rPr>
          <w:rFonts w:ascii="Cambria" w:eastAsiaTheme="minorEastAsia" w:hAnsi="Cambria"/>
          <w:color w:val="auto"/>
        </w:rPr>
        <w:tab/>
        <w:t xml:space="preserve">     </w:t>
      </w:r>
      <m:oMath>
        <m:r>
          <m:rPr>
            <m:sty m:val="p"/>
          </m:rPr>
          <w:rPr>
            <w:rFonts w:ascii="Cambria Math" w:hAnsi="Cambria Math"/>
            <w:color w:val="auto"/>
          </w:rPr>
          <m:t xml:space="preserve">= </m:t>
        </m:r>
        <m:r>
          <w:rPr>
            <w:rFonts w:ascii="Cambria Math" w:hAnsi="Cambria Math"/>
            <w:color w:val="auto"/>
          </w:rPr>
          <m:t xml:space="preserve">176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p>
    <w:p w:rsidR="00AA641B" w:rsidRPr="00AA641B" w:rsidRDefault="00AA641B" w:rsidP="00AA641B">
      <w:pPr>
        <w:pStyle w:val="Listenabsatz"/>
        <w:ind w:left="1068"/>
        <w:rPr>
          <w:rFonts w:ascii="Cambria" w:eastAsiaTheme="minorEastAsia" w:hAnsi="Cambria"/>
          <w:color w:val="auto"/>
        </w:rPr>
      </w:pPr>
    </w:p>
    <w:p w:rsidR="00AA641B" w:rsidRPr="00AA641B" w:rsidRDefault="00AA641B" w:rsidP="00AA641B">
      <w:pPr>
        <w:pStyle w:val="Listenabsatz"/>
        <w:ind w:left="1068"/>
        <w:rPr>
          <w:rFonts w:ascii="Cambria" w:eastAsiaTheme="minorEastAsia" w:hAnsi="Cambria"/>
          <w:color w:val="auto"/>
        </w:rPr>
      </w:pPr>
      <m:oMathPara>
        <m:oMathParaPr>
          <m:jc m:val="left"/>
        </m:oMathParaP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d>
            <m:dPr>
              <m:begChr m:val="["/>
              <m:endChr m:val="]"/>
              <m:ctrlPr>
                <w:rPr>
                  <w:rFonts w:ascii="Cambria Math" w:hAnsi="Cambria Math"/>
                  <w:color w:val="auto"/>
                </w:rPr>
              </m:ctrlPr>
            </m:dPr>
            <m:e>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3 (g)</m:t>
                      </m:r>
                    </m:sub>
                  </m:sSub>
                </m:e>
              </m:d>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color w:val="auto"/>
                    </w:rPr>
                  </m:ctrlPr>
                </m:dPr>
                <m:e>
                  <m:sSub>
                    <m:sSubPr>
                      <m:ctrlPr>
                        <w:rPr>
                          <w:rFonts w:ascii="Cambria Math" w:hAnsi="Cambria Math"/>
                          <w:color w:val="auto"/>
                        </w:rPr>
                      </m:ctrlPr>
                    </m:sSubPr>
                    <m:e>
                      <m:r>
                        <m:rPr>
                          <m:sty m:val="p"/>
                        </m:rPr>
                        <w:rPr>
                          <w:rFonts w:ascii="Cambria Math" w:hAnsi="Cambria Math"/>
                          <w:color w:val="auto"/>
                        </w:rPr>
                        <m:t>HCl</m:t>
                      </m:r>
                    </m:e>
                    <m:sub>
                      <m:r>
                        <m:rPr>
                          <m:sty m:val="p"/>
                        </m:rPr>
                        <w:rPr>
                          <w:rFonts w:ascii="Cambria Math" w:hAnsi="Cambria Math"/>
                          <w:color w:val="auto"/>
                        </w:rPr>
                        <m:t>(g)</m:t>
                      </m:r>
                    </m:sub>
                  </m:sSub>
                </m:e>
              </m:d>
              <m:r>
                <m:rPr>
                  <m:sty m:val="p"/>
                </m:rPr>
                <w:rPr>
                  <w:rFonts w:ascii="Cambria Math" w:hAnsi="Cambria Math"/>
                  <w:color w:val="auto"/>
                </w:rPr>
                <m:t xml:space="preserve"> </m:t>
              </m:r>
            </m:e>
          </m:d>
          <m:r>
            <m:rPr>
              <m:sty m:val="p"/>
            </m:rPr>
            <w:rPr>
              <w:rFonts w:ascii="Cambria Math" w:hAnsi="Cambria Math"/>
              <w:color w:val="auto"/>
            </w:rPr>
            <m:t>-</m:t>
          </m:r>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d>
            <m:dPr>
              <m:ctrlPr>
                <w:rPr>
                  <w:rFonts w:ascii="Cambria Math" w:hAnsi="Cambria Math"/>
                  <w:i/>
                  <w:color w:val="auto"/>
                </w:rPr>
              </m:ctrlPr>
            </m:dPr>
            <m:e>
              <m:sSub>
                <m:sSubPr>
                  <m:ctrlPr>
                    <w:rPr>
                      <w:rFonts w:ascii="Cambria Math" w:hAnsi="Cambria Math"/>
                      <w:color w:val="auto"/>
                    </w:rPr>
                  </m:ctrlPr>
                </m:sSubPr>
                <m:e>
                  <m:r>
                    <m:rPr>
                      <m:sty m:val="p"/>
                    </m:rPr>
                    <w:rPr>
                      <w:rFonts w:ascii="Cambria Math" w:hAnsi="Cambria Math"/>
                      <w:color w:val="auto"/>
                    </w:rPr>
                    <m:t>NH</m:t>
                  </m:r>
                </m:e>
                <m:sub>
                  <m:r>
                    <m:rPr>
                      <m:sty m:val="p"/>
                    </m:rPr>
                    <w:rPr>
                      <w:rFonts w:ascii="Cambria Math" w:hAnsi="Cambria Math"/>
                      <w:color w:val="auto"/>
                    </w:rPr>
                    <m:t>4</m:t>
                  </m:r>
                </m:sub>
              </m:sSub>
              <m:sSub>
                <m:sSubPr>
                  <m:ctrlPr>
                    <w:rPr>
                      <w:rFonts w:ascii="Cambria Math" w:hAnsi="Cambria Math"/>
                      <w:color w:val="auto"/>
                    </w:rPr>
                  </m:ctrlPr>
                </m:sSubPr>
                <m:e>
                  <m:r>
                    <m:rPr>
                      <m:sty m:val="p"/>
                    </m:rPr>
                    <w:rPr>
                      <w:rFonts w:ascii="Cambria Math" w:hAnsi="Cambria Math"/>
                      <w:color w:val="auto"/>
                    </w:rPr>
                    <m:t>Cl</m:t>
                  </m:r>
                </m:e>
                <m:sub>
                  <m:r>
                    <m:rPr>
                      <m:sty m:val="p"/>
                    </m:rPr>
                    <w:rPr>
                      <w:rFonts w:ascii="Cambria Math" w:hAnsi="Cambria Math"/>
                      <w:color w:val="auto"/>
                    </w:rPr>
                    <m:t>(s)</m:t>
                  </m:r>
                </m:sub>
              </m:sSub>
            </m:e>
          </m:d>
        </m:oMath>
      </m:oMathPara>
    </w:p>
    <w:p w:rsidR="00AA641B" w:rsidRPr="00AA641B" w:rsidRDefault="00AA641B" w:rsidP="00AA641B">
      <w:pPr>
        <w:pStyle w:val="Listenabsatz"/>
        <w:ind w:left="1068"/>
        <w:rPr>
          <w:rFonts w:ascii="Cambria" w:hAnsi="Cambria"/>
          <w:color w:val="auto"/>
          <w:u w:val="single"/>
        </w:rPr>
      </w:pPr>
      <w:r w:rsidRPr="00AA641B">
        <w:rPr>
          <w:rFonts w:ascii="Cambria" w:eastAsiaTheme="minorEastAsia" w:hAnsi="Cambria"/>
          <w:color w:val="auto"/>
        </w:rPr>
        <w:tab/>
        <w:t xml:space="preserve">    </w:t>
      </w:r>
      <m:oMath>
        <m:r>
          <m:rPr>
            <m:sty m:val="p"/>
          </m:rPr>
          <w:rPr>
            <w:rFonts w:ascii="Cambria Math" w:hAnsi="Cambria Math"/>
            <w:color w:val="auto"/>
          </w:rPr>
          <m:t xml:space="preserve">= </m:t>
        </m:r>
        <m:d>
          <m:dPr>
            <m:begChr m:val="["/>
            <m:endChr m:val="]"/>
            <m:ctrlPr>
              <w:rPr>
                <w:rFonts w:ascii="Cambria Math" w:hAnsi="Cambria Math"/>
                <w:color w:val="auto"/>
              </w:rPr>
            </m:ctrlPr>
          </m:dPr>
          <m:e>
            <m:r>
              <w:rPr>
                <w:rFonts w:ascii="Cambria Math" w:hAnsi="Cambria Math"/>
                <w:color w:val="auto"/>
              </w:rPr>
              <m:t xml:space="preserve">193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r>
              <w:rPr>
                <w:rFonts w:ascii="Cambria Math" w:hAnsi="Cambria Math"/>
                <w:color w:val="auto"/>
              </w:rPr>
              <m:t xml:space="preserve">+187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e>
        </m:d>
        <m:r>
          <w:rPr>
            <w:rFonts w:ascii="Cambria Math" w:hAnsi="Cambria Math"/>
            <w:color w:val="auto"/>
          </w:rPr>
          <m:t xml:space="preserve">- 95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r w:rsidRPr="00AA641B">
        <w:rPr>
          <w:rFonts w:ascii="Cambria" w:eastAsiaTheme="minorEastAsia" w:hAnsi="Cambria"/>
          <w:color w:val="auto"/>
        </w:rPr>
        <w:t xml:space="preserve"> </w:t>
      </w:r>
      <w:r w:rsidRPr="00AA641B">
        <w:rPr>
          <w:rFonts w:ascii="Cambria" w:eastAsiaTheme="minorEastAsia" w:hAnsi="Cambria"/>
          <w:color w:val="auto"/>
        </w:rPr>
        <w:tab/>
      </w:r>
      <w:r w:rsidRPr="00AA641B">
        <w:rPr>
          <w:rFonts w:ascii="Cambria" w:eastAsiaTheme="minorEastAsia" w:hAnsi="Cambria"/>
          <w:color w:val="auto"/>
        </w:rPr>
        <w:tab/>
        <w:t xml:space="preserve">    </w:t>
      </w:r>
      <m:oMath>
        <m:r>
          <m:rPr>
            <m:sty m:val="p"/>
          </m:rPr>
          <w:rPr>
            <w:rFonts w:ascii="Cambria Math" w:hAnsi="Cambria Math"/>
            <w:color w:val="auto"/>
          </w:rPr>
          <m:t xml:space="preserve">= </m:t>
        </m:r>
        <m:r>
          <w:rPr>
            <w:rFonts w:ascii="Cambria Math" w:hAnsi="Cambria Math"/>
            <w:color w:val="auto"/>
          </w:rPr>
          <m:t xml:space="preserve">285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p>
    <w:p w:rsidR="00AA641B" w:rsidRPr="00AA641B" w:rsidRDefault="00AA641B" w:rsidP="00AA641B">
      <w:pPr>
        <w:rPr>
          <w:color w:val="auto"/>
          <w:u w:val="single"/>
        </w:rPr>
      </w:pPr>
    </w:p>
    <w:p w:rsidR="00AA641B" w:rsidRPr="00AA641B" w:rsidRDefault="00AA641B" w:rsidP="00AA641B">
      <w:pPr>
        <w:pStyle w:val="Listenabsatz"/>
        <w:numPr>
          <w:ilvl w:val="0"/>
          <w:numId w:val="3"/>
        </w:numPr>
        <w:rPr>
          <w:rFonts w:ascii="Cambria" w:hAnsi="Cambria"/>
          <w:color w:val="auto"/>
          <w:u w:val="single"/>
        </w:rPr>
      </w:pPr>
      <w:r w:rsidRPr="00AA641B">
        <w:rPr>
          <w:rFonts w:ascii="Cambria" w:hAnsi="Cambria"/>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H</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-T ∙ </m:t>
        </m:r>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S</m:t>
            </m:r>
          </m:e>
          <m:sub>
            <m:r>
              <m:rPr>
                <m:sty m:val="p"/>
              </m:rPr>
              <w:rPr>
                <w:rFonts w:ascii="Cambria Math" w:hAnsi="Cambria Math"/>
                <w:color w:val="auto"/>
              </w:rPr>
              <m:t>m</m:t>
            </m:r>
          </m:sub>
          <m:sup>
            <m:r>
              <m:rPr>
                <m:sty m:val="p"/>
              </m:rPr>
              <w:rPr>
                <w:rFonts w:ascii="Cambria Math" w:hAnsi="Cambria Math"/>
                <w:color w:val="auto"/>
              </w:rPr>
              <m:t>0</m:t>
            </m:r>
          </m:sup>
        </m:sSubSup>
      </m:oMath>
    </w:p>
    <w:p w:rsidR="00AA641B" w:rsidRPr="00AA641B" w:rsidRDefault="00AA641B" w:rsidP="00AA641B">
      <w:pPr>
        <w:pStyle w:val="Listenabsatz"/>
        <w:ind w:left="1068"/>
        <w:rPr>
          <w:rFonts w:ascii="Cambria" w:hAnsi="Cambria"/>
          <w:color w:val="auto"/>
          <w:u w:val="single"/>
        </w:rPr>
      </w:pPr>
      <w:r w:rsidRPr="00AA641B">
        <w:rPr>
          <w:rFonts w:ascii="Cambria" w:hAnsi="Cambria"/>
          <w:color w:val="auto"/>
        </w:rPr>
        <w:t xml:space="preserve"> </w:t>
      </w:r>
      <m:oMath>
        <m:r>
          <w:rPr>
            <w:rFonts w:ascii="Cambria Math" w:hAnsi="Cambria Math"/>
            <w:color w:val="auto"/>
          </w:rPr>
          <m:t xml:space="preserve">0=176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r>
          <w:rPr>
            <w:rFonts w:ascii="Cambria Math" w:hAnsi="Cambria Math"/>
            <w:color w:val="auto"/>
          </w:rPr>
          <m:t>-</m:t>
        </m:r>
        <m:r>
          <m:rPr>
            <m:sty m:val="p"/>
          </m:rPr>
          <w:rPr>
            <w:rFonts w:ascii="Cambria Math" w:hAnsi="Cambria Math"/>
            <w:color w:val="auto"/>
          </w:rPr>
          <m:t>T</m:t>
        </m:r>
        <m:r>
          <w:rPr>
            <w:rFonts w:ascii="Cambria Math" w:hAnsi="Cambria Math"/>
            <w:color w:val="auto"/>
          </w:rPr>
          <m:t xml:space="preserve">∙285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oMath>
    </w:p>
    <w:p w:rsidR="00AA641B" w:rsidRPr="00AA641B" w:rsidRDefault="00AA641B" w:rsidP="00AA641B">
      <w:pPr>
        <w:pStyle w:val="Listenabsatz"/>
        <w:ind w:left="1068"/>
        <w:rPr>
          <w:rFonts w:ascii="Cambria" w:eastAsiaTheme="minorEastAsia" w:hAnsi="Cambria"/>
          <w:color w:val="auto"/>
        </w:rPr>
      </w:pPr>
      <m:oMathPara>
        <m:oMathParaPr>
          <m:jc m:val="left"/>
        </m:oMathParaPr>
        <m:oMath>
          <m:r>
            <m:rPr>
              <m:sty m:val="p"/>
            </m:rPr>
            <w:rPr>
              <w:rFonts w:ascii="Cambria Math" w:hAnsi="Cambria Math"/>
              <w:color w:val="auto"/>
            </w:rPr>
            <m:t>T=</m:t>
          </m:r>
          <m:f>
            <m:fPr>
              <m:ctrlPr>
                <w:rPr>
                  <w:rFonts w:ascii="Cambria Math" w:hAnsi="Cambria Math"/>
                  <w:color w:val="auto"/>
                </w:rPr>
              </m:ctrlPr>
            </m:fPr>
            <m:num>
              <m:r>
                <w:rPr>
                  <w:rFonts w:ascii="Cambria Math" w:hAnsi="Cambria Math"/>
                  <w:color w:val="auto"/>
                </w:rPr>
                <m:t xml:space="preserve">176 </m:t>
              </m:r>
              <m:r>
                <m:rPr>
                  <m:sty m:val="p"/>
                </m:rPr>
                <w:rPr>
                  <w:rFonts w:ascii="Cambria Math" w:hAnsi="Cambria Math"/>
                  <w:color w:val="auto"/>
                </w:rPr>
                <m:t>kJ∙</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num>
            <m:den>
              <m:r>
                <w:rPr>
                  <w:rFonts w:ascii="Cambria Math" w:hAnsi="Cambria Math"/>
                  <w:color w:val="auto"/>
                </w:rPr>
                <m:t xml:space="preserve">285  </m:t>
              </m:r>
              <m:r>
                <m:rPr>
                  <m:sty m:val="p"/>
                </m:rPr>
                <w:rPr>
                  <w:rFonts w:ascii="Cambria Math" w:hAnsi="Cambria Math"/>
                  <w:color w:val="auto"/>
                </w:rPr>
                <m:t>J∙</m:t>
              </m:r>
              <m:sSup>
                <m:sSupPr>
                  <m:ctrlPr>
                    <w:rPr>
                      <w:rFonts w:ascii="Cambria Math" w:hAnsi="Cambria Math"/>
                      <w:color w:val="auto"/>
                    </w:rPr>
                  </m:ctrlPr>
                </m:sSupPr>
                <m:e>
                  <m:r>
                    <m:rPr>
                      <m:sty m:val="p"/>
                    </m:rPr>
                    <w:rPr>
                      <w:rFonts w:ascii="Cambria Math" w:hAnsi="Cambria Math"/>
                      <w:color w:val="auto"/>
                    </w:rPr>
                    <m:t>K</m:t>
                  </m:r>
                </m:e>
                <m:sup>
                  <m:r>
                    <m:rPr>
                      <m:sty m:val="p"/>
                    </m:rPr>
                    <w:rPr>
                      <w:rFonts w:ascii="Cambria Math" w:hAnsi="Cambria Math"/>
                      <w:color w:val="auto"/>
                    </w:rPr>
                    <m:t>-1</m:t>
                  </m:r>
                </m:sup>
              </m:sSup>
              <m:r>
                <w:rPr>
                  <w:rFonts w:ascii="Cambria Math" w:hAnsi="Cambria Math"/>
                  <w:color w:val="auto"/>
                </w:rPr>
                <m:t>∙</m:t>
              </m:r>
              <m:sSup>
                <m:sSupPr>
                  <m:ctrlPr>
                    <w:rPr>
                      <w:rFonts w:ascii="Cambria Math" w:hAnsi="Cambria Math"/>
                      <w:color w:val="auto"/>
                    </w:rPr>
                  </m:ctrlPr>
                </m:sSupPr>
                <m:e>
                  <m:r>
                    <m:rPr>
                      <m:sty m:val="p"/>
                    </m:rPr>
                    <w:rPr>
                      <w:rFonts w:ascii="Cambria Math" w:hAnsi="Cambria Math"/>
                      <w:color w:val="auto"/>
                    </w:rPr>
                    <m:t>mol</m:t>
                  </m:r>
                </m:e>
                <m:sup>
                  <m:r>
                    <m:rPr>
                      <m:sty m:val="p"/>
                    </m:rPr>
                    <w:rPr>
                      <w:rFonts w:ascii="Cambria Math" w:hAnsi="Cambria Math"/>
                      <w:color w:val="auto"/>
                    </w:rPr>
                    <m:t>-1</m:t>
                  </m:r>
                </m:sup>
              </m:sSup>
            </m:den>
          </m:f>
          <m:r>
            <w:rPr>
              <w:rFonts w:ascii="Cambria Math" w:hAnsi="Cambria Math"/>
              <w:color w:val="auto"/>
            </w:rPr>
            <m:t xml:space="preserve"> </m:t>
          </m:r>
          <m:r>
            <m:rPr>
              <m:sty m:val="p"/>
            </m:rPr>
            <w:rPr>
              <w:rFonts w:ascii="Cambria Math" w:hAnsi="Cambria Math"/>
              <w:color w:val="auto"/>
            </w:rPr>
            <m:t>≈620 K=347 °C</m:t>
          </m:r>
        </m:oMath>
      </m:oMathPara>
    </w:p>
    <w:p w:rsidR="00AA641B" w:rsidRPr="00AA641B" w:rsidRDefault="00AA641B" w:rsidP="00AA641B">
      <w:pPr>
        <w:pStyle w:val="Listenabsatz"/>
        <w:ind w:left="1068"/>
        <w:rPr>
          <w:rFonts w:ascii="Cambria" w:eastAsiaTheme="minorEastAsia" w:hAnsi="Cambria"/>
          <w:color w:val="auto"/>
        </w:rPr>
      </w:pPr>
    </w:p>
    <w:p w:rsidR="00AA641B" w:rsidRPr="00AA641B" w:rsidRDefault="00AA641B" w:rsidP="00AA641B">
      <w:pPr>
        <w:pStyle w:val="Listenabsatz"/>
        <w:ind w:left="1068"/>
        <w:rPr>
          <w:rFonts w:ascii="Cambria" w:eastAsiaTheme="minorEastAsia" w:hAnsi="Cambria"/>
          <w:color w:val="auto"/>
        </w:rPr>
      </w:pPr>
      <w:r w:rsidRPr="00AA641B">
        <w:rPr>
          <w:rFonts w:ascii="Cambria" w:eastAsiaTheme="minorEastAsia" w:hAnsi="Cambria"/>
          <w:color w:val="auto"/>
        </w:rPr>
        <w:t>Bei</w:t>
      </w:r>
      <w:r w:rsidRPr="00AA641B">
        <w:rPr>
          <w:rFonts w:ascii="Cambria" w:hAnsi="Cambria"/>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 xml:space="preserve">= </m:t>
        </m:r>
        <m:r>
          <w:rPr>
            <w:rFonts w:ascii="Cambria Math" w:hAnsi="Cambria Math"/>
            <w:color w:val="auto"/>
          </w:rPr>
          <m:t>0</m:t>
        </m:r>
      </m:oMath>
      <w:r w:rsidRPr="00AA641B">
        <w:rPr>
          <w:rFonts w:ascii="Cambria" w:eastAsiaTheme="minorEastAsia" w:hAnsi="Cambria"/>
          <w:color w:val="auto"/>
        </w:rPr>
        <w:t xml:space="preserve"> liegt die Reaktion im Gleichgewicht vor.</w:t>
      </w:r>
    </w:p>
    <w:p w:rsidR="00AA641B" w:rsidRPr="00AA641B" w:rsidRDefault="00AA641B" w:rsidP="00AA641B">
      <w:pPr>
        <w:rPr>
          <w:rFonts w:eastAsiaTheme="minorEastAsia"/>
          <w:color w:val="auto"/>
        </w:rPr>
      </w:pPr>
    </w:p>
    <w:p w:rsidR="00AA641B" w:rsidRPr="00AA641B" w:rsidRDefault="00AA641B" w:rsidP="00AA641B">
      <w:pPr>
        <w:rPr>
          <w:rFonts w:eastAsiaTheme="minorEastAsia"/>
          <w:color w:val="auto"/>
        </w:rPr>
      </w:pPr>
      <w:r w:rsidRPr="00AA641B">
        <w:rPr>
          <w:rFonts w:eastAsiaTheme="minorEastAsia"/>
          <w:color w:val="auto"/>
          <w:u w:val="single"/>
        </w:rPr>
        <w:t>Aufgabe 3:</w:t>
      </w:r>
    </w:p>
    <w:p w:rsidR="00AA641B" w:rsidRPr="00AA641B" w:rsidRDefault="00AA641B" w:rsidP="00AA641B">
      <w:pPr>
        <w:rPr>
          <w:rFonts w:eastAsiaTheme="minorEastAsia"/>
          <w:color w:val="auto"/>
        </w:rPr>
      </w:pPr>
      <w:r w:rsidRPr="00AA641B">
        <w:rPr>
          <w:rFonts w:eastAsiaTheme="minorEastAsia"/>
          <w:color w:val="auto"/>
        </w:rPr>
        <w:t>Eine Reaktion verläuft freiwillig, sofern</w:t>
      </w:r>
      <w:r w:rsidRPr="00AA641B">
        <w:rPr>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&lt;0 (exergonisch).</m:t>
        </m:r>
      </m:oMath>
      <w:r w:rsidRPr="00AA641B">
        <w:rPr>
          <w:rFonts w:eastAsiaTheme="minorEastAsia"/>
          <w:color w:val="auto"/>
        </w:rPr>
        <w:t xml:space="preserve"> Dies ist nicht mehr der Fall, sollte die Gibbs-Energie größer als null sein, wenn also ein endergonischer Verlauf vorliegt. Die Temperatur bedingt dabei im Produkt der Gleichung als Faktor vor der Entropie, ob das Produkt größer oder kleiner als die Enthalpie ist. Ist das Produkt größer, so erhält man ein negatives Vorzeichen, was eine exergonische Reaktion bedeutet. Damit ergibt sich, dass mit steigender Temperatur der freiwillige Ablauf wahrscheinlicher wird. </w:t>
      </w:r>
      <w:r w:rsidRPr="00AA641B">
        <w:rPr>
          <w:rFonts w:eastAsiaTheme="minorEastAsia"/>
          <w:color w:val="auto"/>
        </w:rPr>
        <w:tab/>
      </w:r>
      <w:r w:rsidRPr="00AA641B">
        <w:rPr>
          <w:rFonts w:eastAsiaTheme="minorEastAsia"/>
          <w:color w:val="auto"/>
        </w:rPr>
        <w:tab/>
      </w:r>
      <w:r w:rsidRPr="00AA641B">
        <w:rPr>
          <w:rFonts w:eastAsiaTheme="minorEastAsia"/>
          <w:color w:val="auto"/>
        </w:rPr>
        <w:tab/>
      </w:r>
      <w:r w:rsidRPr="00AA641B">
        <w:rPr>
          <w:rFonts w:eastAsiaTheme="minorEastAsia"/>
          <w:color w:val="auto"/>
        </w:rPr>
        <w:tab/>
      </w:r>
      <w:r w:rsidRPr="00AA641B">
        <w:rPr>
          <w:rFonts w:eastAsiaTheme="minorEastAsia"/>
          <w:color w:val="auto"/>
        </w:rPr>
        <w:tab/>
        <w:t xml:space="preserve">      Für das vorliegende Gleichgewicht bedeutet dies, dass unterhalb einer Temperatur von 620 K </w:t>
      </w:r>
      <w:r w:rsidRPr="00AA641B">
        <w:rPr>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&gt;0</m:t>
        </m:r>
      </m:oMath>
      <w:r w:rsidRPr="00AA641B">
        <w:rPr>
          <w:rFonts w:eastAsiaTheme="minorEastAsia"/>
          <w:color w:val="auto"/>
        </w:rPr>
        <w:t xml:space="preserve"> ist. Bei exakt 620 K liegt der Gleichgewichtszustand vor, bei einer höheren Temperatur ist </w:t>
      </w:r>
      <w:r w:rsidRPr="00AA641B">
        <w:rPr>
          <w:color w:val="auto"/>
        </w:rPr>
        <w:t xml:space="preserve"> </w:t>
      </w:r>
      <m:oMath>
        <m:sSub>
          <m:sSubPr>
            <m:ctrlPr>
              <w:rPr>
                <w:rFonts w:ascii="Cambria Math" w:hAnsi="Cambria Math"/>
                <w:color w:val="auto"/>
              </w:rPr>
            </m:ctrlPr>
          </m:sSubPr>
          <m:e>
            <m:r>
              <m:rPr>
                <m:sty m:val="p"/>
              </m:rPr>
              <w:rPr>
                <w:rFonts w:ascii="Cambria Math" w:hAnsi="Cambria Math"/>
                <w:color w:val="auto"/>
              </w:rPr>
              <m:t>∆</m:t>
            </m:r>
          </m:e>
          <m:sub>
            <m:r>
              <m:rPr>
                <m:sty m:val="p"/>
              </m:rPr>
              <w:rPr>
                <w:rFonts w:ascii="Cambria Math" w:hAnsi="Cambria Math"/>
                <w:color w:val="auto"/>
              </w:rPr>
              <m:t>r</m:t>
            </m:r>
          </m:sub>
        </m:sSub>
        <m:sSubSup>
          <m:sSubSupPr>
            <m:ctrlPr>
              <w:rPr>
                <w:rFonts w:ascii="Cambria Math" w:hAnsi="Cambria Math"/>
                <w:color w:val="auto"/>
              </w:rPr>
            </m:ctrlPr>
          </m:sSubSupPr>
          <m:e>
            <m:r>
              <m:rPr>
                <m:sty m:val="p"/>
              </m:rPr>
              <w:rPr>
                <w:rFonts w:ascii="Cambria Math" w:hAnsi="Cambria Math"/>
                <w:color w:val="auto"/>
              </w:rPr>
              <m:t>G</m:t>
            </m:r>
          </m:e>
          <m:sub>
            <m:r>
              <m:rPr>
                <m:sty m:val="p"/>
              </m:rPr>
              <w:rPr>
                <w:rFonts w:ascii="Cambria Math" w:hAnsi="Cambria Math"/>
                <w:color w:val="auto"/>
              </w:rPr>
              <m:t>m</m:t>
            </m:r>
          </m:sub>
          <m:sup>
            <m:r>
              <m:rPr>
                <m:sty m:val="p"/>
              </m:rPr>
              <w:rPr>
                <w:rFonts w:ascii="Cambria Math" w:hAnsi="Cambria Math"/>
                <w:color w:val="auto"/>
              </w:rPr>
              <m:t>0</m:t>
            </m:r>
          </m:sup>
        </m:sSubSup>
        <m:r>
          <m:rPr>
            <m:sty m:val="p"/>
          </m:rPr>
          <w:rPr>
            <w:rFonts w:ascii="Cambria Math" w:hAnsi="Cambria Math"/>
            <w:color w:val="auto"/>
          </w:rPr>
          <m:t>&lt;0, also läuft die Reaktion dann freiwillig ab.</m:t>
        </m:r>
      </m:oMath>
      <w:r w:rsidRPr="00AA641B">
        <w:rPr>
          <w:rFonts w:eastAsiaTheme="minorEastAsia"/>
          <w:color w:val="auto"/>
        </w:rPr>
        <w:t xml:space="preserve"> </w:t>
      </w:r>
    </w:p>
    <w:p w:rsidR="00AA641B" w:rsidRPr="00AA641B" w:rsidRDefault="00AA641B" w:rsidP="00AA641B">
      <w:r w:rsidRPr="00AA641B">
        <w:rPr>
          <w:rFonts w:eastAsiaTheme="minorEastAsia"/>
          <w:color w:val="auto"/>
        </w:rPr>
        <w:t>Wird der Einfluss der Umgebung betrachtet, so stellt sich in einem geschlossenen System ein dynamisches Gleichgewicht ein, bei welchem die Partialdrücke von Ammoniak und Chlorwasserstoffgas konstant sind. Im Gegensatz dazu kommt es bei einem offenen System zum Stoffaustausch, d.h. die Gase gehen an die Umwelt verloren. Daher verläuft die Reaktion vollständig zur Produktseite hin ab.</w:t>
      </w:r>
    </w:p>
    <w:p w:rsidR="0008007A" w:rsidRPr="00AA641B" w:rsidRDefault="0008007A" w:rsidP="00AA641B"/>
    <w:sectPr w:rsidR="0008007A" w:rsidRPr="00AA641B" w:rsidSect="002226FB">
      <w:pgSz w:w="11906" w:h="16838"/>
      <w:pgMar w:top="1417" w:right="1417" w:bottom="709"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F8F" w:rsidRDefault="00625F8F" w:rsidP="00AA641B">
      <w:pPr>
        <w:spacing w:after="0" w:line="240" w:lineRule="auto"/>
      </w:pPr>
      <w:r>
        <w:separator/>
      </w:r>
    </w:p>
  </w:endnote>
  <w:endnote w:type="continuationSeparator" w:id="0">
    <w:p w:rsidR="00625F8F" w:rsidRDefault="00625F8F" w:rsidP="00AA6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F8F" w:rsidRDefault="00625F8F" w:rsidP="00AA641B">
      <w:pPr>
        <w:spacing w:after="0" w:line="240" w:lineRule="auto"/>
      </w:pPr>
      <w:r>
        <w:separator/>
      </w:r>
    </w:p>
  </w:footnote>
  <w:footnote w:type="continuationSeparator" w:id="0">
    <w:p w:rsidR="00625F8F" w:rsidRDefault="00625F8F" w:rsidP="00AA64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 w15:restartNumberingAfterBreak="0">
    <w:nsid w:val="555A1831"/>
    <w:multiLevelType w:val="hybridMultilevel"/>
    <w:tmpl w:val="1D8870D4"/>
    <w:lvl w:ilvl="0" w:tplc="D0387C8E">
      <w:start w:val="1"/>
      <w:numFmt w:val="lowerLetter"/>
      <w:lvlText w:val="%1)"/>
      <w:lvlJc w:val="left"/>
      <w:pPr>
        <w:ind w:left="2484" w:hanging="360"/>
      </w:pPr>
      <w:rPr>
        <w:b w:val="0"/>
      </w:rPr>
    </w:lvl>
    <w:lvl w:ilvl="1" w:tplc="04070019" w:tentative="1">
      <w:start w:val="1"/>
      <w:numFmt w:val="lowerLetter"/>
      <w:lvlText w:val="%2."/>
      <w:lvlJc w:val="left"/>
      <w:pPr>
        <w:ind w:left="3204" w:hanging="360"/>
      </w:pPr>
    </w:lvl>
    <w:lvl w:ilvl="2" w:tplc="0407001B" w:tentative="1">
      <w:start w:val="1"/>
      <w:numFmt w:val="lowerRoman"/>
      <w:lvlText w:val="%3."/>
      <w:lvlJc w:val="right"/>
      <w:pPr>
        <w:ind w:left="3924" w:hanging="180"/>
      </w:pPr>
    </w:lvl>
    <w:lvl w:ilvl="3" w:tplc="0407000F" w:tentative="1">
      <w:start w:val="1"/>
      <w:numFmt w:val="decimal"/>
      <w:lvlText w:val="%4."/>
      <w:lvlJc w:val="left"/>
      <w:pPr>
        <w:ind w:left="4644" w:hanging="360"/>
      </w:pPr>
    </w:lvl>
    <w:lvl w:ilvl="4" w:tplc="04070019" w:tentative="1">
      <w:start w:val="1"/>
      <w:numFmt w:val="lowerLetter"/>
      <w:lvlText w:val="%5."/>
      <w:lvlJc w:val="left"/>
      <w:pPr>
        <w:ind w:left="5364" w:hanging="360"/>
      </w:pPr>
    </w:lvl>
    <w:lvl w:ilvl="5" w:tplc="0407001B" w:tentative="1">
      <w:start w:val="1"/>
      <w:numFmt w:val="lowerRoman"/>
      <w:lvlText w:val="%6."/>
      <w:lvlJc w:val="right"/>
      <w:pPr>
        <w:ind w:left="6084" w:hanging="180"/>
      </w:pPr>
    </w:lvl>
    <w:lvl w:ilvl="6" w:tplc="0407000F" w:tentative="1">
      <w:start w:val="1"/>
      <w:numFmt w:val="decimal"/>
      <w:lvlText w:val="%7."/>
      <w:lvlJc w:val="left"/>
      <w:pPr>
        <w:ind w:left="6804" w:hanging="360"/>
      </w:pPr>
    </w:lvl>
    <w:lvl w:ilvl="7" w:tplc="04070019" w:tentative="1">
      <w:start w:val="1"/>
      <w:numFmt w:val="lowerLetter"/>
      <w:lvlText w:val="%8."/>
      <w:lvlJc w:val="left"/>
      <w:pPr>
        <w:ind w:left="7524" w:hanging="360"/>
      </w:pPr>
    </w:lvl>
    <w:lvl w:ilvl="8" w:tplc="0407001B" w:tentative="1">
      <w:start w:val="1"/>
      <w:numFmt w:val="lowerRoman"/>
      <w:lvlText w:val="%9."/>
      <w:lvlJc w:val="right"/>
      <w:pPr>
        <w:ind w:left="8244" w:hanging="180"/>
      </w:pPr>
    </w:lvl>
  </w:abstractNum>
  <w:abstractNum w:abstractNumId="2" w15:restartNumberingAfterBreak="0">
    <w:nsid w:val="6ABA1D88"/>
    <w:multiLevelType w:val="hybridMultilevel"/>
    <w:tmpl w:val="80FA74DE"/>
    <w:lvl w:ilvl="0" w:tplc="D0387C8E">
      <w:start w:val="1"/>
      <w:numFmt w:val="lowerLetter"/>
      <w:lvlText w:val="%1)"/>
      <w:lvlJc w:val="left"/>
      <w:pPr>
        <w:ind w:left="1069" w:hanging="360"/>
      </w:pPr>
      <w:rPr>
        <w:b w:val="0"/>
      </w:rPr>
    </w:lvl>
    <w:lvl w:ilvl="1" w:tplc="04070019" w:tentative="1">
      <w:start w:val="1"/>
      <w:numFmt w:val="lowerLetter"/>
      <w:lvlText w:val="%2."/>
      <w:lvlJc w:val="left"/>
      <w:pPr>
        <w:ind w:left="24" w:hanging="360"/>
      </w:pPr>
    </w:lvl>
    <w:lvl w:ilvl="2" w:tplc="0407001B" w:tentative="1">
      <w:start w:val="1"/>
      <w:numFmt w:val="lowerRoman"/>
      <w:lvlText w:val="%3."/>
      <w:lvlJc w:val="right"/>
      <w:pPr>
        <w:ind w:left="744" w:hanging="180"/>
      </w:pPr>
    </w:lvl>
    <w:lvl w:ilvl="3" w:tplc="0407000F" w:tentative="1">
      <w:start w:val="1"/>
      <w:numFmt w:val="decimal"/>
      <w:lvlText w:val="%4."/>
      <w:lvlJc w:val="left"/>
      <w:pPr>
        <w:ind w:left="1464" w:hanging="360"/>
      </w:pPr>
    </w:lvl>
    <w:lvl w:ilvl="4" w:tplc="04070019" w:tentative="1">
      <w:start w:val="1"/>
      <w:numFmt w:val="lowerLetter"/>
      <w:lvlText w:val="%5."/>
      <w:lvlJc w:val="left"/>
      <w:pPr>
        <w:ind w:left="2184" w:hanging="360"/>
      </w:pPr>
    </w:lvl>
    <w:lvl w:ilvl="5" w:tplc="0407001B" w:tentative="1">
      <w:start w:val="1"/>
      <w:numFmt w:val="lowerRoman"/>
      <w:lvlText w:val="%6."/>
      <w:lvlJc w:val="right"/>
      <w:pPr>
        <w:ind w:left="2904" w:hanging="180"/>
      </w:pPr>
    </w:lvl>
    <w:lvl w:ilvl="6" w:tplc="0407000F" w:tentative="1">
      <w:start w:val="1"/>
      <w:numFmt w:val="decimal"/>
      <w:lvlText w:val="%7."/>
      <w:lvlJc w:val="left"/>
      <w:pPr>
        <w:ind w:left="3624" w:hanging="360"/>
      </w:pPr>
    </w:lvl>
    <w:lvl w:ilvl="7" w:tplc="04070019" w:tentative="1">
      <w:start w:val="1"/>
      <w:numFmt w:val="lowerLetter"/>
      <w:lvlText w:val="%8."/>
      <w:lvlJc w:val="left"/>
      <w:pPr>
        <w:ind w:left="4344" w:hanging="360"/>
      </w:pPr>
    </w:lvl>
    <w:lvl w:ilvl="8" w:tplc="0407001B" w:tentative="1">
      <w:start w:val="1"/>
      <w:numFmt w:val="lowerRoman"/>
      <w:lvlText w:val="%9."/>
      <w:lvlJc w:val="right"/>
      <w:pPr>
        <w:ind w:left="506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EC"/>
    <w:rsid w:val="00010A19"/>
    <w:rsid w:val="00015326"/>
    <w:rsid w:val="000214D7"/>
    <w:rsid w:val="00034ECE"/>
    <w:rsid w:val="00040314"/>
    <w:rsid w:val="0004115C"/>
    <w:rsid w:val="000416FC"/>
    <w:rsid w:val="00042F9C"/>
    <w:rsid w:val="00051016"/>
    <w:rsid w:val="00057E37"/>
    <w:rsid w:val="000631B7"/>
    <w:rsid w:val="00065BBF"/>
    <w:rsid w:val="00071766"/>
    <w:rsid w:val="00074E05"/>
    <w:rsid w:val="0008007A"/>
    <w:rsid w:val="00083B34"/>
    <w:rsid w:val="00093844"/>
    <w:rsid w:val="00094469"/>
    <w:rsid w:val="000A2DC0"/>
    <w:rsid w:val="000B5B2A"/>
    <w:rsid w:val="000D0604"/>
    <w:rsid w:val="000D4E80"/>
    <w:rsid w:val="000D73AC"/>
    <w:rsid w:val="000E42E4"/>
    <w:rsid w:val="000F1B4A"/>
    <w:rsid w:val="000F36BF"/>
    <w:rsid w:val="000F5126"/>
    <w:rsid w:val="00102C9E"/>
    <w:rsid w:val="00104E1E"/>
    <w:rsid w:val="00105233"/>
    <w:rsid w:val="001119F2"/>
    <w:rsid w:val="00111CF5"/>
    <w:rsid w:val="001124EB"/>
    <w:rsid w:val="001174BA"/>
    <w:rsid w:val="00133118"/>
    <w:rsid w:val="00142E6A"/>
    <w:rsid w:val="001465DD"/>
    <w:rsid w:val="00146AF8"/>
    <w:rsid w:val="00162CB8"/>
    <w:rsid w:val="00164290"/>
    <w:rsid w:val="00164F3A"/>
    <w:rsid w:val="001853A1"/>
    <w:rsid w:val="001866D3"/>
    <w:rsid w:val="0019348A"/>
    <w:rsid w:val="00193B8F"/>
    <w:rsid w:val="001A0A6B"/>
    <w:rsid w:val="001A1B51"/>
    <w:rsid w:val="001B4198"/>
    <w:rsid w:val="001B42A6"/>
    <w:rsid w:val="001B6182"/>
    <w:rsid w:val="001C186F"/>
    <w:rsid w:val="001D0470"/>
    <w:rsid w:val="001D148D"/>
    <w:rsid w:val="001D16BD"/>
    <w:rsid w:val="00206CF2"/>
    <w:rsid w:val="00207E6F"/>
    <w:rsid w:val="00225698"/>
    <w:rsid w:val="002355D2"/>
    <w:rsid w:val="00244730"/>
    <w:rsid w:val="00246BA9"/>
    <w:rsid w:val="00256E68"/>
    <w:rsid w:val="00257E4A"/>
    <w:rsid w:val="00272708"/>
    <w:rsid w:val="0027718F"/>
    <w:rsid w:val="0028077D"/>
    <w:rsid w:val="002842E7"/>
    <w:rsid w:val="00284B34"/>
    <w:rsid w:val="00292233"/>
    <w:rsid w:val="002A5895"/>
    <w:rsid w:val="002A7FD2"/>
    <w:rsid w:val="002B13F8"/>
    <w:rsid w:val="002B1E47"/>
    <w:rsid w:val="002C66D2"/>
    <w:rsid w:val="002C7E3A"/>
    <w:rsid w:val="002D785F"/>
    <w:rsid w:val="002E2DD6"/>
    <w:rsid w:val="002E5A54"/>
    <w:rsid w:val="002F6910"/>
    <w:rsid w:val="00305614"/>
    <w:rsid w:val="00316ED8"/>
    <w:rsid w:val="003301EC"/>
    <w:rsid w:val="00332551"/>
    <w:rsid w:val="003346BD"/>
    <w:rsid w:val="003364F1"/>
    <w:rsid w:val="003431C7"/>
    <w:rsid w:val="0034667A"/>
    <w:rsid w:val="003470A7"/>
    <w:rsid w:val="00363CEC"/>
    <w:rsid w:val="00363F14"/>
    <w:rsid w:val="003737EE"/>
    <w:rsid w:val="00382D09"/>
    <w:rsid w:val="003911DD"/>
    <w:rsid w:val="003A0106"/>
    <w:rsid w:val="003A1CA6"/>
    <w:rsid w:val="003A6567"/>
    <w:rsid w:val="003B47B8"/>
    <w:rsid w:val="003B7D10"/>
    <w:rsid w:val="003C6F12"/>
    <w:rsid w:val="003C7CF0"/>
    <w:rsid w:val="003E41CB"/>
    <w:rsid w:val="003F0DFA"/>
    <w:rsid w:val="003F33F2"/>
    <w:rsid w:val="003F43FF"/>
    <w:rsid w:val="00401F55"/>
    <w:rsid w:val="0041199B"/>
    <w:rsid w:val="00416DB0"/>
    <w:rsid w:val="00416FCE"/>
    <w:rsid w:val="004216D4"/>
    <w:rsid w:val="004248FA"/>
    <w:rsid w:val="00426A31"/>
    <w:rsid w:val="00434DA2"/>
    <w:rsid w:val="00441EC8"/>
    <w:rsid w:val="00447C99"/>
    <w:rsid w:val="00454BDF"/>
    <w:rsid w:val="00460E79"/>
    <w:rsid w:val="00466506"/>
    <w:rsid w:val="00471B58"/>
    <w:rsid w:val="0049105F"/>
    <w:rsid w:val="00491A2C"/>
    <w:rsid w:val="00497771"/>
    <w:rsid w:val="004A3D8B"/>
    <w:rsid w:val="004A4CF8"/>
    <w:rsid w:val="004A563F"/>
    <w:rsid w:val="004A5CED"/>
    <w:rsid w:val="004B130B"/>
    <w:rsid w:val="004B3C98"/>
    <w:rsid w:val="004C7FA9"/>
    <w:rsid w:val="004D0E09"/>
    <w:rsid w:val="004D401C"/>
    <w:rsid w:val="004D79CD"/>
    <w:rsid w:val="004D7D84"/>
    <w:rsid w:val="004E53B3"/>
    <w:rsid w:val="004F30DB"/>
    <w:rsid w:val="004F4FE3"/>
    <w:rsid w:val="00500110"/>
    <w:rsid w:val="005019CE"/>
    <w:rsid w:val="00515DE8"/>
    <w:rsid w:val="0052180C"/>
    <w:rsid w:val="0052283E"/>
    <w:rsid w:val="00533808"/>
    <w:rsid w:val="00533C6B"/>
    <w:rsid w:val="00542290"/>
    <w:rsid w:val="0056587B"/>
    <w:rsid w:val="00567708"/>
    <w:rsid w:val="00567988"/>
    <w:rsid w:val="00570C4D"/>
    <w:rsid w:val="00573D32"/>
    <w:rsid w:val="00575B1E"/>
    <w:rsid w:val="0058185D"/>
    <w:rsid w:val="005A0610"/>
    <w:rsid w:val="005A57A2"/>
    <w:rsid w:val="005B2CFB"/>
    <w:rsid w:val="005B55A7"/>
    <w:rsid w:val="005C071A"/>
    <w:rsid w:val="005C07B5"/>
    <w:rsid w:val="005C0D5C"/>
    <w:rsid w:val="005C2C76"/>
    <w:rsid w:val="005D3833"/>
    <w:rsid w:val="005D445A"/>
    <w:rsid w:val="005D4803"/>
    <w:rsid w:val="005E1BB6"/>
    <w:rsid w:val="005E2B15"/>
    <w:rsid w:val="005E2D77"/>
    <w:rsid w:val="005E3EE4"/>
    <w:rsid w:val="005E65DE"/>
    <w:rsid w:val="005F1729"/>
    <w:rsid w:val="005F6176"/>
    <w:rsid w:val="00605BEB"/>
    <w:rsid w:val="00625C11"/>
    <w:rsid w:val="00625F8F"/>
    <w:rsid w:val="0064325D"/>
    <w:rsid w:val="00646B25"/>
    <w:rsid w:val="00646E21"/>
    <w:rsid w:val="006533E7"/>
    <w:rsid w:val="006551D3"/>
    <w:rsid w:val="0066723A"/>
    <w:rsid w:val="00672646"/>
    <w:rsid w:val="00676DBB"/>
    <w:rsid w:val="0068172D"/>
    <w:rsid w:val="00681A2F"/>
    <w:rsid w:val="00682376"/>
    <w:rsid w:val="00690D6A"/>
    <w:rsid w:val="0069313B"/>
    <w:rsid w:val="0069410F"/>
    <w:rsid w:val="006A017D"/>
    <w:rsid w:val="006A27BA"/>
    <w:rsid w:val="006A5BF3"/>
    <w:rsid w:val="006B2B98"/>
    <w:rsid w:val="006B6481"/>
    <w:rsid w:val="006D4751"/>
    <w:rsid w:val="006E02F2"/>
    <w:rsid w:val="006E2D37"/>
    <w:rsid w:val="006F6BCE"/>
    <w:rsid w:val="007273C3"/>
    <w:rsid w:val="00731E1C"/>
    <w:rsid w:val="007471ED"/>
    <w:rsid w:val="00747BFA"/>
    <w:rsid w:val="0075110B"/>
    <w:rsid w:val="00760F0B"/>
    <w:rsid w:val="007610EF"/>
    <w:rsid w:val="00765C19"/>
    <w:rsid w:val="00766EFA"/>
    <w:rsid w:val="007831F0"/>
    <w:rsid w:val="007839DA"/>
    <w:rsid w:val="007867A9"/>
    <w:rsid w:val="00790245"/>
    <w:rsid w:val="0079147D"/>
    <w:rsid w:val="0079591C"/>
    <w:rsid w:val="007B3438"/>
    <w:rsid w:val="007D058D"/>
    <w:rsid w:val="007D13D8"/>
    <w:rsid w:val="007D3424"/>
    <w:rsid w:val="007F3754"/>
    <w:rsid w:val="00800921"/>
    <w:rsid w:val="00804CDD"/>
    <w:rsid w:val="00820AFF"/>
    <w:rsid w:val="00821B9A"/>
    <w:rsid w:val="008302FC"/>
    <w:rsid w:val="00830596"/>
    <w:rsid w:val="008336A6"/>
    <w:rsid w:val="00842CE9"/>
    <w:rsid w:val="00843562"/>
    <w:rsid w:val="0085226A"/>
    <w:rsid w:val="00854F24"/>
    <w:rsid w:val="00855CB7"/>
    <w:rsid w:val="00862CD1"/>
    <w:rsid w:val="0087116C"/>
    <w:rsid w:val="008723F3"/>
    <w:rsid w:val="00873CA0"/>
    <w:rsid w:val="0087484E"/>
    <w:rsid w:val="0088703C"/>
    <w:rsid w:val="00894F2A"/>
    <w:rsid w:val="008A3398"/>
    <w:rsid w:val="008B25C0"/>
    <w:rsid w:val="008C2970"/>
    <w:rsid w:val="008C4759"/>
    <w:rsid w:val="008C63D1"/>
    <w:rsid w:val="008D76DA"/>
    <w:rsid w:val="008E085D"/>
    <w:rsid w:val="008E45B6"/>
    <w:rsid w:val="009129C2"/>
    <w:rsid w:val="009168B3"/>
    <w:rsid w:val="009208B9"/>
    <w:rsid w:val="009464CE"/>
    <w:rsid w:val="009508C6"/>
    <w:rsid w:val="00953325"/>
    <w:rsid w:val="009535D1"/>
    <w:rsid w:val="0095364D"/>
    <w:rsid w:val="009720DD"/>
    <w:rsid w:val="009740AB"/>
    <w:rsid w:val="00984D2C"/>
    <w:rsid w:val="009877DE"/>
    <w:rsid w:val="0099650F"/>
    <w:rsid w:val="009B74B2"/>
    <w:rsid w:val="009C10B9"/>
    <w:rsid w:val="009C39CE"/>
    <w:rsid w:val="009C6FA8"/>
    <w:rsid w:val="009C75F6"/>
    <w:rsid w:val="009E0916"/>
    <w:rsid w:val="00A016F0"/>
    <w:rsid w:val="00A0468D"/>
    <w:rsid w:val="00A10710"/>
    <w:rsid w:val="00A10B46"/>
    <w:rsid w:val="00A1466B"/>
    <w:rsid w:val="00A151FD"/>
    <w:rsid w:val="00A16BF7"/>
    <w:rsid w:val="00A22F07"/>
    <w:rsid w:val="00A252A6"/>
    <w:rsid w:val="00A34D83"/>
    <w:rsid w:val="00A3511A"/>
    <w:rsid w:val="00A37977"/>
    <w:rsid w:val="00A41AE5"/>
    <w:rsid w:val="00A44D40"/>
    <w:rsid w:val="00A50F5B"/>
    <w:rsid w:val="00A61888"/>
    <w:rsid w:val="00A675D2"/>
    <w:rsid w:val="00A67B06"/>
    <w:rsid w:val="00A72B19"/>
    <w:rsid w:val="00A75B02"/>
    <w:rsid w:val="00A768BA"/>
    <w:rsid w:val="00A8047B"/>
    <w:rsid w:val="00A84A6D"/>
    <w:rsid w:val="00A90542"/>
    <w:rsid w:val="00A94C1C"/>
    <w:rsid w:val="00AA0BED"/>
    <w:rsid w:val="00AA1487"/>
    <w:rsid w:val="00AA2F7B"/>
    <w:rsid w:val="00AA641B"/>
    <w:rsid w:val="00AB3AAF"/>
    <w:rsid w:val="00AB616D"/>
    <w:rsid w:val="00AD1AC7"/>
    <w:rsid w:val="00AD63C0"/>
    <w:rsid w:val="00AD669D"/>
    <w:rsid w:val="00B21B27"/>
    <w:rsid w:val="00B24926"/>
    <w:rsid w:val="00B3155E"/>
    <w:rsid w:val="00B40EF8"/>
    <w:rsid w:val="00B421AB"/>
    <w:rsid w:val="00B51469"/>
    <w:rsid w:val="00B545AD"/>
    <w:rsid w:val="00B62004"/>
    <w:rsid w:val="00B64AC8"/>
    <w:rsid w:val="00B64CAC"/>
    <w:rsid w:val="00B72B34"/>
    <w:rsid w:val="00B72D75"/>
    <w:rsid w:val="00B833E9"/>
    <w:rsid w:val="00B86C71"/>
    <w:rsid w:val="00B871A3"/>
    <w:rsid w:val="00B97868"/>
    <w:rsid w:val="00BB3712"/>
    <w:rsid w:val="00BB4E15"/>
    <w:rsid w:val="00BC1F70"/>
    <w:rsid w:val="00BE4CC5"/>
    <w:rsid w:val="00BF5B68"/>
    <w:rsid w:val="00C01BF6"/>
    <w:rsid w:val="00C13CC4"/>
    <w:rsid w:val="00C159F5"/>
    <w:rsid w:val="00C16557"/>
    <w:rsid w:val="00C23A0A"/>
    <w:rsid w:val="00C24BBB"/>
    <w:rsid w:val="00C26068"/>
    <w:rsid w:val="00C332CE"/>
    <w:rsid w:val="00C34A3B"/>
    <w:rsid w:val="00C36AAF"/>
    <w:rsid w:val="00C50917"/>
    <w:rsid w:val="00C52DF9"/>
    <w:rsid w:val="00C55D40"/>
    <w:rsid w:val="00C62216"/>
    <w:rsid w:val="00C62B4D"/>
    <w:rsid w:val="00C96753"/>
    <w:rsid w:val="00CA6A0B"/>
    <w:rsid w:val="00CB1998"/>
    <w:rsid w:val="00CC2778"/>
    <w:rsid w:val="00CE7B8A"/>
    <w:rsid w:val="00CF5911"/>
    <w:rsid w:val="00D04B05"/>
    <w:rsid w:val="00D06249"/>
    <w:rsid w:val="00D255CA"/>
    <w:rsid w:val="00D3317E"/>
    <w:rsid w:val="00D365BA"/>
    <w:rsid w:val="00D36AAB"/>
    <w:rsid w:val="00D416A3"/>
    <w:rsid w:val="00D442E7"/>
    <w:rsid w:val="00D45CF0"/>
    <w:rsid w:val="00D61871"/>
    <w:rsid w:val="00D627D9"/>
    <w:rsid w:val="00D64814"/>
    <w:rsid w:val="00D71473"/>
    <w:rsid w:val="00D74CE6"/>
    <w:rsid w:val="00D81AF0"/>
    <w:rsid w:val="00D917BE"/>
    <w:rsid w:val="00D91CB3"/>
    <w:rsid w:val="00D9606E"/>
    <w:rsid w:val="00DA1910"/>
    <w:rsid w:val="00DA21DC"/>
    <w:rsid w:val="00DB0ED2"/>
    <w:rsid w:val="00DC15C8"/>
    <w:rsid w:val="00DD10D2"/>
    <w:rsid w:val="00DE0823"/>
    <w:rsid w:val="00DE3B95"/>
    <w:rsid w:val="00DE65F1"/>
    <w:rsid w:val="00DE65FB"/>
    <w:rsid w:val="00DF0A69"/>
    <w:rsid w:val="00DF24A8"/>
    <w:rsid w:val="00DF33BA"/>
    <w:rsid w:val="00DF3C23"/>
    <w:rsid w:val="00E063E2"/>
    <w:rsid w:val="00E071A2"/>
    <w:rsid w:val="00E114E5"/>
    <w:rsid w:val="00E12B0D"/>
    <w:rsid w:val="00E14AAA"/>
    <w:rsid w:val="00E153EA"/>
    <w:rsid w:val="00E27A37"/>
    <w:rsid w:val="00E34407"/>
    <w:rsid w:val="00E3540C"/>
    <w:rsid w:val="00E4444D"/>
    <w:rsid w:val="00E479E2"/>
    <w:rsid w:val="00E54248"/>
    <w:rsid w:val="00E55A58"/>
    <w:rsid w:val="00E62246"/>
    <w:rsid w:val="00E62FD1"/>
    <w:rsid w:val="00E64092"/>
    <w:rsid w:val="00E71891"/>
    <w:rsid w:val="00E724CE"/>
    <w:rsid w:val="00E809E1"/>
    <w:rsid w:val="00E83DFC"/>
    <w:rsid w:val="00E86C27"/>
    <w:rsid w:val="00EB12F8"/>
    <w:rsid w:val="00EB24D7"/>
    <w:rsid w:val="00EB29E4"/>
    <w:rsid w:val="00EB2F18"/>
    <w:rsid w:val="00EC1784"/>
    <w:rsid w:val="00ED527C"/>
    <w:rsid w:val="00EE18DA"/>
    <w:rsid w:val="00EF187A"/>
    <w:rsid w:val="00EF6234"/>
    <w:rsid w:val="00F04075"/>
    <w:rsid w:val="00F06EDE"/>
    <w:rsid w:val="00F22A44"/>
    <w:rsid w:val="00F23A88"/>
    <w:rsid w:val="00F3710B"/>
    <w:rsid w:val="00F45765"/>
    <w:rsid w:val="00F54390"/>
    <w:rsid w:val="00F61792"/>
    <w:rsid w:val="00F6419E"/>
    <w:rsid w:val="00F72216"/>
    <w:rsid w:val="00F76578"/>
    <w:rsid w:val="00F819DF"/>
    <w:rsid w:val="00F845F6"/>
    <w:rsid w:val="00F87266"/>
    <w:rsid w:val="00F90637"/>
    <w:rsid w:val="00F9446E"/>
    <w:rsid w:val="00F94996"/>
    <w:rsid w:val="00F972DA"/>
    <w:rsid w:val="00FA34A0"/>
    <w:rsid w:val="00FA588D"/>
    <w:rsid w:val="00FB0141"/>
    <w:rsid w:val="00FB2569"/>
    <w:rsid w:val="00FB32DF"/>
    <w:rsid w:val="00FB446E"/>
    <w:rsid w:val="00FB606E"/>
    <w:rsid w:val="00FB6647"/>
    <w:rsid w:val="00FC145E"/>
    <w:rsid w:val="00FC78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BA095"/>
  <w15:chartTrackingRefBased/>
  <w15:docId w15:val="{674902A1-C7F0-43A6-85DB-F090AEA0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363CEC"/>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363CEC"/>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363CEC"/>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363CEC"/>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363CEC"/>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363CEC"/>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363CEC"/>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363CE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63CEC"/>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63CE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63CEC"/>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363CEC"/>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363CEC"/>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363CEC"/>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363CEC"/>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363CEC"/>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363CEC"/>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63CEC"/>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63CEC"/>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363CEC"/>
    <w:pPr>
      <w:spacing w:line="240" w:lineRule="auto"/>
    </w:pPr>
    <w:rPr>
      <w:bCs/>
      <w:color w:val="auto"/>
      <w:sz w:val="18"/>
      <w:szCs w:val="18"/>
    </w:rPr>
  </w:style>
  <w:style w:type="table" w:styleId="Tabellenraster">
    <w:name w:val="Table Grid"/>
    <w:basedOn w:val="NormaleTabelle"/>
    <w:uiPriority w:val="59"/>
    <w:rsid w:val="0036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AA641B"/>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A641B"/>
    <w:rPr>
      <w:rFonts w:ascii="Segoe UI" w:hAnsi="Segoe UI" w:cs="Segoe UI"/>
      <w:color w:val="171717" w:themeColor="background2" w:themeShade="1A"/>
      <w:sz w:val="18"/>
      <w:szCs w:val="18"/>
    </w:rPr>
  </w:style>
  <w:style w:type="paragraph" w:styleId="Listenabsatz">
    <w:name w:val="List Paragraph"/>
    <w:basedOn w:val="Standard"/>
    <w:uiPriority w:val="34"/>
    <w:qFormat/>
    <w:rsid w:val="00AA641B"/>
    <w:pPr>
      <w:spacing w:line="276" w:lineRule="auto"/>
      <w:ind w:left="720"/>
      <w:contextualSpacing/>
    </w:pPr>
    <w:rPr>
      <w:rFonts w:asciiTheme="minorHAnsi" w:hAnsiTheme="minorHAnsi"/>
      <w:color w:val="000000"/>
    </w:rPr>
  </w:style>
  <w:style w:type="paragraph" w:styleId="Kopfzeile">
    <w:name w:val="header"/>
    <w:basedOn w:val="Standard"/>
    <w:link w:val="KopfzeileZchn"/>
    <w:uiPriority w:val="99"/>
    <w:unhideWhenUsed/>
    <w:rsid w:val="00AA641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A641B"/>
    <w:rPr>
      <w:rFonts w:ascii="Cambria" w:hAnsi="Cambria"/>
      <w:color w:val="171717" w:themeColor="background2" w:themeShade="1A"/>
    </w:rPr>
  </w:style>
  <w:style w:type="paragraph" w:styleId="Fuzeile">
    <w:name w:val="footer"/>
    <w:basedOn w:val="Standard"/>
    <w:link w:val="FuzeileZchn"/>
    <w:uiPriority w:val="99"/>
    <w:unhideWhenUsed/>
    <w:rsid w:val="00AA641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A641B"/>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609</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dc:creator>
  <cp:keywords/>
  <dc:description/>
  <cp:lastModifiedBy>Annika</cp:lastModifiedBy>
  <cp:revision>2</cp:revision>
  <cp:lastPrinted>2016-08-10T13:59:00Z</cp:lastPrinted>
  <dcterms:created xsi:type="dcterms:W3CDTF">2016-08-10T14:01:00Z</dcterms:created>
  <dcterms:modified xsi:type="dcterms:W3CDTF">2016-08-10T14:01:00Z</dcterms:modified>
</cp:coreProperties>
</file>