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3E" w:rsidRPr="00F66E3E" w:rsidRDefault="00F66E3E" w:rsidP="00F66E3E">
      <w:pPr>
        <w:rPr>
          <w:b/>
          <w:sz w:val="24"/>
        </w:rPr>
      </w:pPr>
      <w:bookmarkStart w:id="0" w:name="_Toc458158649"/>
      <w:r w:rsidRPr="00F66E3E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16A00" wp14:editId="4C9C4609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5873115" cy="781050"/>
                <wp:effectExtent l="0" t="0" r="13335" b="19050"/>
                <wp:wrapSquare wrapText="bothSides"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6E3E" w:rsidRPr="00F31EBF" w:rsidRDefault="00F66E3E" w:rsidP="00F66E3E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Mit diesem Versuch sollen die SuS eine weitere elektrophile Substitution am Beispiel von Naphthalin kennenlernen. Für diesen Versuch werden theoretische Grundlagen zur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Elektrophilie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von Teilchen und der Reaktionstyp der Substitution vorausgesetzt.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16A00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31.35pt;width:462.45pt;height:6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" fillcolor="white [3201]" strokecolor="#4472c4 [3208]" strokeweight="1pt">
                <v:stroke dashstyle="dash"/>
                <v:shadow color="#868686"/>
                <v:textbox>
                  <w:txbxContent>
                    <w:p w:rsidR="00F66E3E" w:rsidRPr="00F31EBF" w:rsidRDefault="00F66E3E" w:rsidP="00F66E3E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Mit diesem Versuch sollen die SuS eine weitere elektrophile Substitution am Beispiel von Naphthalin kennenlernen. Für diesen Versuch werden theoretische Grundlagen zur </w:t>
                      </w:r>
                      <w:proofErr w:type="spellStart"/>
                      <w:r>
                        <w:rPr>
                          <w:color w:val="auto"/>
                        </w:rPr>
                        <w:t>Elektrophilie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von Teilchen und der Reaktionstyp der Substitution vorausgesetzt.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6E3E">
        <w:rPr>
          <w:b/>
          <w:sz w:val="24"/>
        </w:rPr>
        <w:t xml:space="preserve">V3 – Sulfonierung von </w:t>
      </w:r>
      <w:proofErr w:type="spellStart"/>
      <w:r w:rsidRPr="00F66E3E">
        <w:rPr>
          <w:b/>
          <w:sz w:val="24"/>
        </w:rPr>
        <w:t>Naphtalin</w:t>
      </w:r>
      <w:bookmarkEnd w:id="0"/>
      <w:proofErr w:type="spellEnd"/>
      <w:r w:rsidRPr="00F66E3E">
        <w:rPr>
          <w:b/>
          <w:sz w:val="24"/>
        </w:rPr>
        <w:t xml:space="preserve"> </w:t>
      </w:r>
    </w:p>
    <w:p w:rsidR="00F66E3E" w:rsidRDefault="00F66E3E" w:rsidP="00F66E3E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66E3E" w:rsidRPr="009C5E28" w:rsidTr="00657AAD">
        <w:tc>
          <w:tcPr>
            <w:tcW w:w="9322" w:type="dxa"/>
            <w:gridSpan w:val="9"/>
            <w:shd w:val="clear" w:color="auto" w:fill="4F81BD"/>
            <w:vAlign w:val="center"/>
          </w:tcPr>
          <w:p w:rsidR="00F66E3E" w:rsidRPr="009C5E28" w:rsidRDefault="00F66E3E" w:rsidP="00657AAD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F66E3E" w:rsidRPr="009C5E28" w:rsidTr="00657AAD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E3E" w:rsidRDefault="00F66E3E" w:rsidP="00657AAD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Naphthalin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351-302-410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273- 281-308+313</w:t>
            </w:r>
          </w:p>
        </w:tc>
      </w:tr>
      <w:tr w:rsidR="00F66E3E" w:rsidRPr="009C5E28" w:rsidTr="00657AAD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3E" w:rsidRDefault="00F66E3E" w:rsidP="00657AAD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Schwefelsäure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280-301+330+331-305+351+338-309+310</w:t>
            </w:r>
          </w:p>
        </w:tc>
      </w:tr>
      <w:tr w:rsidR="00F66E3E" w:rsidRPr="009C5E28" w:rsidTr="00657AAD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3E" w:rsidRDefault="00F66E3E" w:rsidP="00657AAD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3E" w:rsidRDefault="00F66E3E" w:rsidP="00657AAD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3E" w:rsidRDefault="00F66E3E" w:rsidP="00657AAD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6E3E" w:rsidRPr="009C5E28" w:rsidTr="00657AAD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3E" w:rsidRDefault="00F66E3E" w:rsidP="00657AAD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1-Naphthalinsulfonsäure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3E" w:rsidRDefault="00F66E3E" w:rsidP="00657AAD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315, 319, 335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3E" w:rsidRDefault="00F66E3E" w:rsidP="00657AAD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302+352, 304+340, 305+351+338</w:t>
            </w:r>
          </w:p>
        </w:tc>
      </w:tr>
      <w:tr w:rsidR="00F66E3E" w:rsidRPr="009C5E28" w:rsidTr="00657AAD">
        <w:tc>
          <w:tcPr>
            <w:tcW w:w="1009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680BC48" wp14:editId="33C3D792">
                  <wp:extent cx="504190" cy="504190"/>
                  <wp:effectExtent l="19050" t="0" r="0" b="0"/>
                  <wp:docPr id="7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B31C577" wp14:editId="3F7166BC">
                  <wp:extent cx="504190" cy="504190"/>
                  <wp:effectExtent l="19050" t="0" r="0" b="0"/>
                  <wp:docPr id="7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C7F018D" wp14:editId="2F6B7476">
                  <wp:extent cx="504190" cy="504190"/>
                  <wp:effectExtent l="19050" t="0" r="0" b="0"/>
                  <wp:docPr id="7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5F9E9F" wp14:editId="175505BE">
                  <wp:extent cx="504190" cy="504190"/>
                  <wp:effectExtent l="0" t="0" r="0" b="0"/>
                  <wp:docPr id="7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3CA048B" wp14:editId="681D1D03">
                  <wp:extent cx="504190" cy="504190"/>
                  <wp:effectExtent l="0" t="0" r="0" b="0"/>
                  <wp:docPr id="7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EEF819" wp14:editId="4DB0A229">
                  <wp:extent cx="504190" cy="504190"/>
                  <wp:effectExtent l="19050" t="0" r="0" b="0"/>
                  <wp:docPr id="7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49D8E3" wp14:editId="081235B7">
                  <wp:extent cx="504190" cy="504190"/>
                  <wp:effectExtent l="19050" t="0" r="0" b="0"/>
                  <wp:docPr id="7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DA35844" wp14:editId="3E7DF7AE">
                  <wp:extent cx="511175" cy="511175"/>
                  <wp:effectExtent l="0" t="0" r="0" b="0"/>
                  <wp:docPr id="8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66E3E" w:rsidRPr="009C5E28" w:rsidRDefault="00F66E3E" w:rsidP="00657A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9392ED" wp14:editId="157830DE">
                  <wp:extent cx="504190" cy="504190"/>
                  <wp:effectExtent l="19050" t="0" r="0" b="0"/>
                  <wp:docPr id="8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3E" w:rsidRDefault="00F66E3E" w:rsidP="00F66E3E">
      <w:pPr>
        <w:tabs>
          <w:tab w:val="left" w:pos="1701"/>
          <w:tab w:val="left" w:pos="1985"/>
        </w:tabs>
      </w:pPr>
    </w:p>
    <w:p w:rsidR="00F66E3E" w:rsidRDefault="00F66E3E" w:rsidP="00F66E3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Reagenzglas, </w:t>
      </w:r>
      <w:proofErr w:type="spellStart"/>
      <w:r>
        <w:t>Bubrenner</w:t>
      </w:r>
      <w:proofErr w:type="spellEnd"/>
      <w:r>
        <w:t xml:space="preserve">, Mörser und </w:t>
      </w:r>
      <w:proofErr w:type="spellStart"/>
      <w:r>
        <w:t>Pistel</w:t>
      </w:r>
      <w:proofErr w:type="spellEnd"/>
      <w:r>
        <w:t>, Pasteurpipetten, Becherglas</w:t>
      </w:r>
    </w:p>
    <w:p w:rsidR="00F66E3E" w:rsidRPr="00ED07C2" w:rsidRDefault="00F66E3E" w:rsidP="00F66E3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Schwefelsäure (</w:t>
      </w:r>
      <w:proofErr w:type="spellStart"/>
      <w:r>
        <w:t>konz</w:t>
      </w:r>
      <w:proofErr w:type="spellEnd"/>
      <w:r>
        <w:t xml:space="preserve">.), Wasser, </w:t>
      </w:r>
      <w:proofErr w:type="spellStart"/>
      <w:r>
        <w:t>Naphtalin</w:t>
      </w:r>
      <w:proofErr w:type="spellEnd"/>
    </w:p>
    <w:p w:rsidR="00F66E3E" w:rsidRDefault="00F66E3E" w:rsidP="00F66E3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Es werden ca. 1 g Naphthalin in einem Mörser zerrieben und anschließend eine Spatelspitze davon in ein Reagenzglas gegeben. Dieses wird mit etwa 5 mL konzentrierter Schwefelsäure versetzt und mit der leuchtenden Flamme erhitzt. Nach einigen Minuten wird der Inhalt des Reagenzglases wird in ein Becherglas mit 50 mL demineralisiertem Wasser überführt.</w:t>
      </w:r>
    </w:p>
    <w:p w:rsidR="00F66E3E" w:rsidRDefault="00F66E3E" w:rsidP="00F66E3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Vor dem Erhitzen liegt ein weißer Feststoff im Reagenzglas vor. Beim Erhitzen ist ein Farbumschlag zu schwarz zu verzeichnen. Im demineralisierten Wasser ist eine hellbraune Lösung zu sehen. </w:t>
      </w:r>
    </w:p>
    <w:tbl>
      <w:tblPr>
        <w:tblStyle w:val="Tabellenraster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1917"/>
        <w:gridCol w:w="3405"/>
      </w:tblGrid>
      <w:tr w:rsidR="00F66E3E" w:rsidTr="00657AAD">
        <w:tc>
          <w:tcPr>
            <w:tcW w:w="1770" w:type="dxa"/>
          </w:tcPr>
          <w:p w:rsidR="00F66E3E" w:rsidRDefault="00F66E3E" w:rsidP="00657AAD">
            <w:pPr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3EF772EA" wp14:editId="36005E2D">
                  <wp:extent cx="2268000" cy="931631"/>
                  <wp:effectExtent l="1270" t="0" r="635" b="635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2016-08-02 10.36.47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2268000" cy="931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F66E3E" w:rsidRDefault="00F66E3E" w:rsidP="00657AAD">
            <w:pPr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4729BA5D" wp14:editId="26DF6FB5">
                  <wp:extent cx="2268000" cy="1023480"/>
                  <wp:effectExtent l="0" t="6350" r="0" b="0"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2016-08-02 10.50.07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2268000" cy="1023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:rsidR="00F66E3E" w:rsidRDefault="00F66E3E" w:rsidP="00657AAD">
            <w:pPr>
              <w:tabs>
                <w:tab w:val="left" w:pos="1701"/>
                <w:tab w:val="left" w:pos="1985"/>
              </w:tabs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4CD3823" wp14:editId="2FEF7833">
                  <wp:extent cx="2025188" cy="2268000"/>
                  <wp:effectExtent l="0" t="0" r="0" b="0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2016-08-02 10.50.54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25188" cy="22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3E" w:rsidTr="00657AAD">
        <w:tc>
          <w:tcPr>
            <w:tcW w:w="7092" w:type="dxa"/>
            <w:gridSpan w:val="3"/>
          </w:tcPr>
          <w:p w:rsidR="00F66E3E" w:rsidRDefault="00F66E3E" w:rsidP="00657AAD">
            <w:pPr>
              <w:pStyle w:val="Beschriftung"/>
              <w:jc w:val="center"/>
            </w:pPr>
            <w:r>
              <w:t xml:space="preserve">Abb. 3 – </w:t>
            </w:r>
            <w:proofErr w:type="spellStart"/>
            <w:r>
              <w:t>Naphtalin</w:t>
            </w:r>
            <w:proofErr w:type="spellEnd"/>
            <w:r>
              <w:t xml:space="preserve"> in Schwefelsäure vor dem Erhitzen (links) und nach dem Erhitzen (Mitte), nach Überführung in ein Becherglas mit 50 mL dem. Wasser (rechts).</w:t>
            </w:r>
          </w:p>
        </w:tc>
      </w:tr>
    </w:tbl>
    <w:p w:rsidR="00F66E3E" w:rsidRPr="00D425DB" w:rsidRDefault="00F66E3E" w:rsidP="00F66E3E"/>
    <w:p w:rsidR="00F66E3E" w:rsidRDefault="00F66E3E" w:rsidP="00F66E3E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 xml:space="preserve">Zunächst findet eine Autoprotolyse der Schwefelsäure statt. Dabei werden Sulfit-Ionen gebildet, welche ein elektrophiles Zentrum am Schwefelatom besitzen. Das nucleophile Naphthalin greift das Elektrophil an, sodass sich die 1-Naphtaleinsulfonsäure bildet. </w:t>
      </w:r>
    </w:p>
    <w:p w:rsidR="00F66E3E" w:rsidRDefault="00F66E3E" w:rsidP="00F66E3E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10E2FC12" wp14:editId="6EECF336">
            <wp:extent cx="3008376" cy="905256"/>
            <wp:effectExtent l="0" t="0" r="1905" b="952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ulfonierung von Naphtalen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3E" w:rsidRPr="00900DF2" w:rsidRDefault="00F66E3E" w:rsidP="00F66E3E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Entsorgung:</w:t>
      </w:r>
      <w:r>
        <w:tab/>
      </w:r>
      <w:r>
        <w:tab/>
      </w:r>
      <w:r>
        <w:tab/>
        <w:t>Die Lösung wird im Behälter für organische Lösungsmittel entsorgt.</w:t>
      </w:r>
    </w:p>
    <w:p w:rsidR="00F66E3E" w:rsidRPr="00B235C6" w:rsidRDefault="00F66E3E" w:rsidP="00F66E3E">
      <w:pPr>
        <w:spacing w:line="276" w:lineRule="auto"/>
      </w:pPr>
      <w:r>
        <w:t>Literatur:</w:t>
      </w:r>
      <w:r>
        <w:tab/>
      </w:r>
      <w:r>
        <w:tab/>
      </w:r>
      <w:proofErr w:type="spellStart"/>
      <w:r w:rsidRPr="00B235C6">
        <w:t>Asselborn</w:t>
      </w:r>
      <w:proofErr w:type="spellEnd"/>
      <w:r w:rsidRPr="00B235C6">
        <w:t>, Wolfgang (</w:t>
      </w:r>
      <w:proofErr w:type="spellStart"/>
      <w:r w:rsidRPr="00B235C6">
        <w:t>Hg</w:t>
      </w:r>
      <w:proofErr w:type="spellEnd"/>
      <w:r w:rsidRPr="00B235C6">
        <w:t xml:space="preserve">.) (2013): Chemie heute. Braunschweig: </w:t>
      </w:r>
      <w:proofErr w:type="spellStart"/>
      <w:r w:rsidRPr="00B235C6">
        <w:t>Schro</w:t>
      </w:r>
      <w:proofErr w:type="spellEnd"/>
      <w:r>
        <w:t>-</w:t>
      </w:r>
      <w:r>
        <w:tab/>
      </w:r>
      <w:r>
        <w:tab/>
      </w:r>
      <w:r>
        <w:tab/>
      </w:r>
      <w:r w:rsidRPr="00B235C6">
        <w:t>edel.</w:t>
      </w:r>
    </w:p>
    <w:p w:rsidR="00F66E3E" w:rsidRDefault="00F66E3E" w:rsidP="00F66E3E">
      <w:pPr>
        <w:spacing w:line="240" w:lineRule="auto"/>
        <w:jc w:val="left"/>
        <w:rPr>
          <w:rFonts w:ascii="Helvetica" w:hAnsi="Helvetica" w:cs="Helvetica"/>
          <w:sz w:val="20"/>
          <w:szCs w:val="20"/>
        </w:rPr>
      </w:pPr>
    </w:p>
    <w:p w:rsidR="00F66E3E" w:rsidRPr="00597F92" w:rsidRDefault="00F66E3E" w:rsidP="00F66E3E">
      <w:pPr>
        <w:spacing w:line="240" w:lineRule="auto"/>
        <w:jc w:val="left"/>
        <w:rPr>
          <w:rFonts w:ascii="Helvetica" w:hAnsi="Helvetica" w:cs="Helvetica"/>
          <w:color w:val="auto"/>
          <w:sz w:val="20"/>
          <w:szCs w:val="20"/>
        </w:rPr>
      </w:pPr>
    </w:p>
    <w:p w:rsidR="00F66E3E" w:rsidRDefault="00F66E3E" w:rsidP="00F66E3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33B530F" wp14:editId="65EE246A">
                <wp:extent cx="5873115" cy="995422"/>
                <wp:effectExtent l="0" t="0" r="13335" b="14605"/>
                <wp:docPr id="1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9542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6E3E" w:rsidRPr="00F31EBF" w:rsidRDefault="00F66E3E" w:rsidP="00F66E3E">
                            <w:r>
                              <w:t>Bei diesem Versuch ist darauf zu achten, dass mit Handschuhen und unter dem Abzug zu arbeiten ist. Bei direktem Kontakt mit der</w:t>
                            </w:r>
                            <w:r>
                              <w:t xml:space="preserve"> menschlichen Haut wirken </w:t>
                            </w:r>
                            <w:proofErr w:type="spellStart"/>
                            <w:r>
                              <w:t>Naphtalin</w:t>
                            </w:r>
                            <w:proofErr w:type="spellEnd"/>
                            <w:r>
                              <w:t xml:space="preserve"> und Schwefelsäure</w:t>
                            </w:r>
                            <w:r>
                              <w:t xml:space="preserve"> bereits </w:t>
                            </w:r>
                            <w:r>
                              <w:t xml:space="preserve">sensibilisierend </w:t>
                            </w:r>
                            <w:r>
                              <w:t>und stark ätzend. Mit diesem Versuch könnte nach dem Lehrerversuch V1: „Bromierung von Toluol“ die elektrophile Sub</w:t>
                            </w:r>
                            <w:bookmarkStart w:id="1" w:name="_GoBack"/>
                            <w:bookmarkEnd w:id="1"/>
                            <w:r>
                              <w:t>stitution vorgestellt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B530F" id="Text Box 131" o:spid="_x0000_s1027" type="#_x0000_t202" style="width:462.45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" fillcolor="white [3201]" strokecolor="#ed7d31 [3205]" strokeweight="1pt">
                <v:stroke dashstyle="dash"/>
                <v:shadow color="#868686"/>
                <v:textbox>
                  <w:txbxContent>
                    <w:p w:rsidR="00F66E3E" w:rsidRPr="00F31EBF" w:rsidRDefault="00F66E3E" w:rsidP="00F66E3E">
                      <w:r>
                        <w:t>Bei diesem Versuch ist darauf zu achten, dass mit Handschuhen und unter dem Abzug zu arbeiten ist. Bei direktem Kontakt mit der</w:t>
                      </w:r>
                      <w:r>
                        <w:t xml:space="preserve"> menschlichen Haut wirken </w:t>
                      </w:r>
                      <w:proofErr w:type="spellStart"/>
                      <w:r>
                        <w:t>Naphtalin</w:t>
                      </w:r>
                      <w:proofErr w:type="spellEnd"/>
                      <w:r>
                        <w:t xml:space="preserve"> und Schwefelsäure</w:t>
                      </w:r>
                      <w:r>
                        <w:t xml:space="preserve"> bereits </w:t>
                      </w:r>
                      <w:r>
                        <w:t xml:space="preserve">sensibilisierend </w:t>
                      </w:r>
                      <w:r>
                        <w:t>und stark ätzend. Mit diesem Versuch könnte nach dem Lehrerversuch V1: „Bromierung von Toluol“ die elektrophile Sub</w:t>
                      </w:r>
                      <w:bookmarkStart w:id="2" w:name="_GoBack"/>
                      <w:bookmarkEnd w:id="2"/>
                      <w:r>
                        <w:t>stitution vorgestellt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35AE" w:rsidRDefault="00F66E3E"/>
    <w:sectPr w:rsidR="00AF3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E"/>
    <w:rsid w:val="00B67E68"/>
    <w:rsid w:val="00ED4883"/>
    <w:rsid w:val="00F6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32A3D-C84B-4CE9-A83B-849C2860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E3E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E3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6E3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6E3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6E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6E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6E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6E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6E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6E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6E3E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6E3E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6E3E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6E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6E3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6E3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6E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6E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6E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66E3E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F6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tif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Lüert</dc:creator>
  <cp:keywords/>
  <dc:description/>
  <cp:lastModifiedBy>Daniel Lüert</cp:lastModifiedBy>
  <cp:revision>1</cp:revision>
  <dcterms:created xsi:type="dcterms:W3CDTF">2016-08-10T14:28:00Z</dcterms:created>
  <dcterms:modified xsi:type="dcterms:W3CDTF">2016-08-10T14:30:00Z</dcterms:modified>
</cp:coreProperties>
</file>