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23" w:rsidRPr="00CC5623" w:rsidRDefault="00CC5623" w:rsidP="00CC5623">
      <w:pPr>
        <w:keepNext/>
        <w:keepLines/>
        <w:numPr>
          <w:ilvl w:val="1"/>
          <w:numId w:val="0"/>
        </w:numPr>
        <w:spacing w:before="200" w:after="0" w:line="360" w:lineRule="auto"/>
        <w:ind w:left="576" w:hanging="576"/>
        <w:jc w:val="both"/>
        <w:outlineLvl w:val="1"/>
        <w:rPr>
          <w:rFonts w:ascii="Cambria" w:eastAsia="MS Gothic" w:hAnsi="Cambria" w:cs="Times New Roman"/>
          <w:b/>
          <w:bCs/>
          <w:color w:val="1D1B11"/>
          <w:szCs w:val="26"/>
        </w:rPr>
      </w:pPr>
      <w:bookmarkStart w:id="0" w:name="_Toc489871561"/>
      <w:r w:rsidRPr="00CC5623">
        <w:rPr>
          <w:rFonts w:ascii="Cambria" w:eastAsia="MS Gothic" w:hAnsi="Cambria" w:cs="Times New Roman"/>
          <w:b/>
          <w:bCs/>
          <w:color w:val="1D1B11"/>
          <w:szCs w:val="26"/>
        </w:rPr>
        <w:t xml:space="preserve">V4 – </w:t>
      </w:r>
      <w:proofErr w:type="spellStart"/>
      <w:r w:rsidRPr="00CC5623">
        <w:rPr>
          <w:rFonts w:ascii="Cambria" w:eastAsia="MS Gothic" w:hAnsi="Cambria" w:cs="Times New Roman"/>
          <w:b/>
          <w:bCs/>
          <w:color w:val="1D1B11"/>
          <w:szCs w:val="26"/>
        </w:rPr>
        <w:t>Biuret</w:t>
      </w:r>
      <w:proofErr w:type="spellEnd"/>
      <w:r w:rsidRPr="00CC5623">
        <w:rPr>
          <w:rFonts w:ascii="Cambria" w:eastAsia="MS Gothic" w:hAnsi="Cambria" w:cs="Times New Roman"/>
          <w:b/>
          <w:bCs/>
          <w:color w:val="1D1B11"/>
          <w:szCs w:val="26"/>
        </w:rPr>
        <w:t>-Probe</w:t>
      </w:r>
      <w:bookmarkEnd w:id="0"/>
    </w:p>
    <w:p w:rsidR="00CC5623" w:rsidRPr="00CC5623" w:rsidRDefault="00CC5623" w:rsidP="00CC5623">
      <w:pPr>
        <w:spacing w:after="0" w:line="360" w:lineRule="auto"/>
        <w:contextualSpacing/>
        <w:jc w:val="both"/>
        <w:rPr>
          <w:rFonts w:ascii="Cambria" w:eastAsia="Calibri" w:hAnsi="Cambria" w:cs="Arial"/>
          <w:i/>
        </w:rPr>
      </w:pPr>
      <w:r w:rsidRPr="00CC5623">
        <w:rPr>
          <w:rFonts w:ascii="Cambria" w:eastAsia="Calibri" w:hAnsi="Cambria" w:cs="Arial"/>
          <w:i/>
        </w:rPr>
        <w:t xml:space="preserve">In diesem Versuch wird die Peptidbindung der Proteine nachgewiesen. Als Vorwissen benötigen die </w:t>
      </w:r>
      <w:proofErr w:type="spellStart"/>
      <w:r w:rsidRPr="00CC5623">
        <w:rPr>
          <w:rFonts w:ascii="Cambria" w:eastAsia="Calibri" w:hAnsi="Cambria" w:cs="Arial"/>
          <w:i/>
        </w:rPr>
        <w:t>SuS</w:t>
      </w:r>
      <w:proofErr w:type="spellEnd"/>
      <w:r w:rsidRPr="00CC5623">
        <w:rPr>
          <w:rFonts w:ascii="Cambria" w:eastAsia="Calibri" w:hAnsi="Cambria" w:cs="Arial"/>
          <w:i/>
        </w:rPr>
        <w:t xml:space="preserve"> Kenntnisse über die Peptidbindung, die einzelne Aminosäuren verknüpft, und über Grundlagen der Komplexbildung.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i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C5623" w:rsidRPr="00CC5623" w:rsidTr="0030255D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FFFFFF"/>
              </w:rPr>
            </w:pPr>
            <w:r w:rsidRPr="00CC5623">
              <w:rPr>
                <w:rFonts w:ascii="Cambria" w:eastAsia="Calibri" w:hAnsi="Cambria" w:cs="Arial"/>
                <w:b/>
                <w:bCs/>
                <w:color w:val="FFFFFF"/>
              </w:rPr>
              <w:t>Gefahrenstoffe</w:t>
            </w:r>
          </w:p>
        </w:tc>
      </w:tr>
      <w:tr w:rsidR="00CC5623" w:rsidRPr="00CC5623" w:rsidTr="0030255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76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1D1B11"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color w:val="1D1B11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color w:val="1D1B11"/>
                <w:sz w:val="20"/>
                <w:szCs w:val="20"/>
              </w:rPr>
              <w:t>H: 314,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color w:val="1D1B11"/>
                <w:sz w:val="20"/>
                <w:szCs w:val="20"/>
              </w:rPr>
              <w:t xml:space="preserve">P: </w:t>
            </w:r>
            <w:hyperlink r:id="rId4" w:anchor="P-S.C3.A4tze" w:tooltip="H- und P-Sätze" w:history="1">
              <w:r w:rsidRPr="00CC5623">
                <w:rPr>
                  <w:rFonts w:ascii="Cambria" w:eastAsia="Calibri" w:hAnsi="Cambria" w:cs="Arial"/>
                  <w:sz w:val="20"/>
                  <w:szCs w:val="20"/>
                </w:rPr>
                <w:t>280</w:t>
              </w:r>
            </w:hyperlink>
            <w:r w:rsidRPr="00CC5623">
              <w:rPr>
                <w:rFonts w:ascii="Cambria" w:eastAsia="Calibri" w:hAnsi="Cambria" w:cs="Arial"/>
                <w:color w:val="1D1B11"/>
                <w:sz w:val="20"/>
                <w:szCs w:val="20"/>
              </w:rPr>
              <w:t xml:space="preserve">, </w:t>
            </w:r>
            <w:hyperlink r:id="rId5" w:anchor="P-S.C3.A4tze" w:tooltip="H- und P-Sätze" w:history="1">
              <w:r w:rsidRPr="00CC5623">
                <w:rPr>
                  <w:rFonts w:ascii="Cambria" w:eastAsia="Calibri" w:hAnsi="Cambria" w:cs="Arial"/>
                  <w:sz w:val="20"/>
                  <w:szCs w:val="20"/>
                </w:rPr>
                <w:t>301+330+331</w:t>
              </w:r>
            </w:hyperlink>
            <w:r w:rsidRPr="00CC5623">
              <w:rPr>
                <w:rFonts w:ascii="Cambria" w:eastAsia="Calibri" w:hAnsi="Cambria" w:cs="Arial"/>
                <w:sz w:val="20"/>
                <w:szCs w:val="20"/>
              </w:rPr>
              <w:t>, 305+351+338, 308+310</w:t>
            </w:r>
          </w:p>
        </w:tc>
      </w:tr>
      <w:tr w:rsidR="00CC5623" w:rsidRPr="00CC5623" w:rsidTr="0030255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76" w:lineRule="auto"/>
              <w:contextualSpacing/>
              <w:jc w:val="both"/>
              <w:rPr>
                <w:rFonts w:ascii="Cambria" w:eastAsia="Calibri" w:hAnsi="Cambria" w:cs="Arial"/>
                <w:bCs/>
                <w:color w:val="1D1B11"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sz w:val="20"/>
                <w:szCs w:val="20"/>
              </w:rPr>
              <w:t>Kupfersulfat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>H: 302, 319, 315,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P: </w:t>
            </w:r>
            <w:hyperlink r:id="rId6" w:anchor="P-S.C3.A4tze" w:tooltip="H- und P-Sätze" w:history="1">
              <w:r w:rsidRPr="00CC5623">
                <w:rPr>
                  <w:rFonts w:ascii="Cambria" w:eastAsia="Calibri" w:hAnsi="Cambria" w:cs="Arial"/>
                  <w:bCs/>
                  <w:sz w:val="20"/>
                  <w:szCs w:val="20"/>
                </w:rPr>
                <w:t>273</w:t>
              </w:r>
            </w:hyperlink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, </w:t>
            </w:r>
            <w:hyperlink r:id="rId7" w:anchor="P-S.C3.A4tze" w:tooltip="H- und P-Sätze" w:history="1">
              <w:r w:rsidRPr="00CC5623">
                <w:rPr>
                  <w:rFonts w:ascii="Cambria" w:eastAsia="Calibri" w:hAnsi="Cambria" w:cs="Arial"/>
                  <w:bCs/>
                  <w:sz w:val="20"/>
                  <w:szCs w:val="20"/>
                </w:rPr>
                <w:t>302+352</w:t>
              </w:r>
            </w:hyperlink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>, 305+351+338</w:t>
            </w:r>
          </w:p>
        </w:tc>
      </w:tr>
      <w:tr w:rsidR="00CC5623" w:rsidRPr="00CC5623" w:rsidTr="0030255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76" w:lineRule="auto"/>
              <w:contextualSpacing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sz w:val="20"/>
                <w:szCs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CC5623">
              <w:rPr>
                <w:rFonts w:ascii="Cambria" w:eastAsia="Calibri" w:hAnsi="Cambria" w:cs="Arial"/>
                <w:bCs/>
                <w:sz w:val="20"/>
                <w:szCs w:val="20"/>
              </w:rPr>
              <w:t>-</w:t>
            </w:r>
          </w:p>
        </w:tc>
      </w:tr>
      <w:tr w:rsidR="00CC5623" w:rsidRPr="00CC5623" w:rsidTr="0030255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b/>
                <w:bCs/>
                <w:color w:val="1D1B11"/>
              </w:rPr>
            </w:pPr>
            <w:r w:rsidRPr="00CC5623">
              <w:rPr>
                <w:rFonts w:ascii="Cambria" w:eastAsia="Calibri" w:hAnsi="Cambria" w:cs="Arial"/>
                <w:b/>
                <w:bCs/>
                <w:noProof/>
                <w:color w:val="1D1B11"/>
                <w:lang w:eastAsia="de-DE"/>
              </w:rPr>
              <w:drawing>
                <wp:inline distT="0" distB="0" distL="0" distR="0" wp14:anchorId="7F32828F" wp14:editId="4FC7A5FA">
                  <wp:extent cx="540000" cy="540000"/>
                  <wp:effectExtent l="0" t="0" r="0" b="0"/>
                  <wp:docPr id="18" name="Grafik 18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393755BE" wp14:editId="1AE11F69">
                  <wp:extent cx="540000" cy="540000"/>
                  <wp:effectExtent l="0" t="0" r="0" b="0"/>
                  <wp:docPr id="19" name="Grafik 1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497EBA43" wp14:editId="1DBC823F">
                  <wp:extent cx="540000" cy="540000"/>
                  <wp:effectExtent l="0" t="0" r="0" b="0"/>
                  <wp:docPr id="20" name="Grafik 2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63DD5F8F" wp14:editId="3EA7E563">
                  <wp:extent cx="540000" cy="540000"/>
                  <wp:effectExtent l="0" t="0" r="0" b="0"/>
                  <wp:docPr id="21" name="Grafik 2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4A17EB25" wp14:editId="12A4BEAA">
                  <wp:extent cx="540000" cy="540000"/>
                  <wp:effectExtent l="0" t="0" r="0" b="0"/>
                  <wp:docPr id="24" name="Grafik 24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55333987" wp14:editId="2932CB9B">
                  <wp:extent cx="540000" cy="540000"/>
                  <wp:effectExtent l="0" t="0" r="0" b="0"/>
                  <wp:docPr id="25" name="Grafik 25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1CB9D1CD" wp14:editId="1FB26CCF">
                  <wp:extent cx="540000" cy="540000"/>
                  <wp:effectExtent l="0" t="0" r="0" b="0"/>
                  <wp:docPr id="26" name="Grafik 26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1B04F1AE" wp14:editId="27B867B2">
                  <wp:extent cx="540000" cy="540000"/>
                  <wp:effectExtent l="0" t="0" r="0" b="0"/>
                  <wp:docPr id="27" name="Grafik 2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C5623" w:rsidRPr="00CC5623" w:rsidRDefault="00CC5623" w:rsidP="00CC5623">
            <w:pPr>
              <w:spacing w:after="0" w:line="360" w:lineRule="auto"/>
              <w:contextualSpacing/>
              <w:jc w:val="both"/>
              <w:rPr>
                <w:rFonts w:ascii="Cambria" w:eastAsia="Calibri" w:hAnsi="Cambria" w:cs="Arial"/>
                <w:color w:val="1D1B11"/>
              </w:rPr>
            </w:pPr>
            <w:r w:rsidRPr="00CC5623">
              <w:rPr>
                <w:rFonts w:ascii="Cambria" w:eastAsia="Calibri" w:hAnsi="Cambria" w:cs="Arial"/>
                <w:noProof/>
                <w:color w:val="1D1B11"/>
                <w:lang w:eastAsia="de-DE"/>
              </w:rPr>
              <w:drawing>
                <wp:inline distT="0" distB="0" distL="0" distR="0" wp14:anchorId="686ED614" wp14:editId="7F17A2DD">
                  <wp:extent cx="540000" cy="540000"/>
                  <wp:effectExtent l="0" t="0" r="0" b="0"/>
                  <wp:docPr id="28" name="Grafik 28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Materialien:</w:t>
      </w: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Reagenzglas, Pipette, Becherglas (100 </w:t>
      </w:r>
      <w:proofErr w:type="spellStart"/>
      <w:r w:rsidRPr="00CC5623">
        <w:rPr>
          <w:rFonts w:ascii="Cambria" w:eastAsia="Calibri" w:hAnsi="Cambria" w:cs="Arial"/>
          <w:color w:val="1D1B11"/>
        </w:rPr>
        <w:t>mL</w:t>
      </w:r>
      <w:proofErr w:type="spellEnd"/>
      <w:r w:rsidRPr="00CC5623">
        <w:rPr>
          <w:rFonts w:ascii="Cambria" w:eastAsia="Calibri" w:hAnsi="Cambria" w:cs="Arial"/>
          <w:color w:val="1D1B11"/>
        </w:rPr>
        <w:t>)</w:t>
      </w: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Chemikalien: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Natronlauge (c = 1 </w:t>
      </w:r>
      <w:proofErr w:type="spellStart"/>
      <w:r w:rsidRPr="00CC5623">
        <w:rPr>
          <w:rFonts w:ascii="Cambria" w:eastAsia="Calibri" w:hAnsi="Cambria" w:cs="Arial"/>
          <w:color w:val="1D1B11"/>
        </w:rPr>
        <w:t>mol</w:t>
      </w:r>
      <w:proofErr w:type="spellEnd"/>
      <w:r w:rsidRPr="00CC5623">
        <w:rPr>
          <w:rFonts w:ascii="Cambria" w:eastAsia="Calibri" w:hAnsi="Cambria" w:cs="Arial"/>
          <w:color w:val="1D1B11"/>
        </w:rPr>
        <w:t xml:space="preserve">/L), Kupfersulfatlösung (c = 0,1 </w:t>
      </w:r>
      <w:proofErr w:type="spellStart"/>
      <w:r w:rsidRPr="00CC5623">
        <w:rPr>
          <w:rFonts w:ascii="Cambria" w:eastAsia="Calibri" w:hAnsi="Cambria" w:cs="Arial"/>
          <w:color w:val="1D1B11"/>
        </w:rPr>
        <w:t>mol</w:t>
      </w:r>
      <w:proofErr w:type="spellEnd"/>
      <w:r w:rsidRPr="00CC5623">
        <w:rPr>
          <w:rFonts w:ascii="Cambria" w:eastAsia="Calibri" w:hAnsi="Cambria" w:cs="Arial"/>
          <w:color w:val="1D1B11"/>
        </w:rPr>
        <w:t>/L), Wasser, Eiklar, Proteinpulver, Natriumchlorid</w:t>
      </w: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color w:val="1D1B11"/>
        </w:rPr>
      </w:pP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Durchführung: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Zur Herstellung der vorbereiteten Eiklar-Lösung wird das Eiklar eines Eis mit </w:t>
      </w:r>
      <w:proofErr w:type="spellStart"/>
      <w:r w:rsidRPr="00CC5623">
        <w:rPr>
          <w:rFonts w:ascii="Cambria" w:eastAsia="Calibri" w:hAnsi="Cambria" w:cs="Arial"/>
          <w:color w:val="1D1B11"/>
        </w:rPr>
        <w:t>dest</w:t>
      </w:r>
      <w:proofErr w:type="spellEnd"/>
      <w:r w:rsidRPr="00CC5623">
        <w:rPr>
          <w:rFonts w:ascii="Cambria" w:eastAsia="Calibri" w:hAnsi="Cambria" w:cs="Arial"/>
          <w:color w:val="1D1B11"/>
        </w:rPr>
        <w:t xml:space="preserve">. Wasser, in dem 1 g Natriumchlorid gelöst ist, auf 100 </w:t>
      </w:r>
      <w:proofErr w:type="spellStart"/>
      <w:r w:rsidRPr="00CC5623">
        <w:rPr>
          <w:rFonts w:ascii="Cambria" w:eastAsia="Calibri" w:hAnsi="Cambria" w:cs="Arial"/>
          <w:color w:val="1D1B11"/>
        </w:rPr>
        <w:t>mL</w:t>
      </w:r>
      <w:proofErr w:type="spellEnd"/>
      <w:r w:rsidRPr="00CC5623">
        <w:rPr>
          <w:rFonts w:ascii="Cambria" w:eastAsia="Calibri" w:hAnsi="Cambria" w:cs="Arial"/>
          <w:color w:val="1D1B11"/>
        </w:rPr>
        <w:t xml:space="preserve"> verdünnt. Aus dem Proteinpulver wird eine wässrige Lösung hergestellt.</w:t>
      </w:r>
    </w:p>
    <w:p w:rsid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Zu den wässrigen Lösungen werden je 1 </w:t>
      </w:r>
      <w:proofErr w:type="spellStart"/>
      <w:r w:rsidRPr="00CC5623">
        <w:rPr>
          <w:rFonts w:ascii="Cambria" w:eastAsia="Calibri" w:hAnsi="Cambria" w:cs="Arial"/>
          <w:color w:val="1D1B11"/>
        </w:rPr>
        <w:t>mL</w:t>
      </w:r>
      <w:proofErr w:type="spellEnd"/>
      <w:r w:rsidRPr="00CC5623">
        <w:rPr>
          <w:rFonts w:ascii="Cambria" w:eastAsia="Calibri" w:hAnsi="Cambria" w:cs="Arial"/>
          <w:color w:val="1D1B11"/>
        </w:rPr>
        <w:t xml:space="preserve"> Natronlauge und anschließend 10 Tropfen Kupfersulfatlösung und die Lösung wird geschüttelt.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b/>
          <w:color w:val="1D1B11"/>
        </w:rPr>
      </w:pP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noProof/>
          <w:color w:val="1D1B11"/>
          <w:lang w:eastAsia="de-DE"/>
        </w:rPr>
        <w:drawing>
          <wp:anchor distT="0" distB="0" distL="114300" distR="114300" simplePos="0" relativeHeight="251658239" behindDoc="0" locked="0" layoutInCell="1" allowOverlap="1" wp14:anchorId="14C156D6" wp14:editId="582D07B6">
            <wp:simplePos x="0" y="0"/>
            <wp:positionH relativeFrom="column">
              <wp:posOffset>3986530</wp:posOffset>
            </wp:positionH>
            <wp:positionV relativeFrom="paragraph">
              <wp:posOffset>229235</wp:posOffset>
            </wp:positionV>
            <wp:extent cx="1867535" cy="1914525"/>
            <wp:effectExtent l="0" t="0" r="0" b="9525"/>
            <wp:wrapSquare wrapText="bothSides"/>
            <wp:docPr id="192" name="Grafik 192" descr="C:\Users\ACER\AppData\Local\Microsoft\Windows\INetCache\Content.Word\DSC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Word\DSC_3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52" t="20641" r="-952" b="-424"/>
                    <a:stretch/>
                  </pic:blipFill>
                  <pic:spPr bwMode="auto">
                    <a:xfrm>
                      <a:off x="0" y="0"/>
                      <a:ext cx="18675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623">
        <w:rPr>
          <w:rFonts w:ascii="Cambria" w:eastAsia="Calibri" w:hAnsi="Cambria" w:cs="Arial"/>
          <w:noProof/>
          <w:color w:val="1D1B11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DC541" wp14:editId="23D53D49">
                <wp:simplePos x="0" y="0"/>
                <wp:positionH relativeFrom="column">
                  <wp:posOffset>1995805</wp:posOffset>
                </wp:positionH>
                <wp:positionV relativeFrom="paragraph">
                  <wp:posOffset>2153920</wp:posOffset>
                </wp:positionV>
                <wp:extent cx="2000250" cy="635"/>
                <wp:effectExtent l="0" t="0" r="0" b="0"/>
                <wp:wrapSquare wrapText="bothSides"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5623" w:rsidRPr="00CC5623" w:rsidRDefault="00CC5623" w:rsidP="00CC5623">
                            <w:pPr>
                              <w:pStyle w:val="Beschriftung"/>
                              <w:rPr>
                                <w:noProof/>
                                <w:color w:val="1D1B11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D45FB9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Ausfallen von blauem Kupferhydroxid.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8DC541" id="_x0000_t202" coordsize="21600,21600" o:spt="202" path="m,l,21600r21600,l21600,xe">
                <v:stroke joinstyle="miter"/>
                <v:path gradientshapeok="t" o:connecttype="rect"/>
              </v:shapetype>
              <v:shape id="Textfeld 193" o:spid="_x0000_s1026" type="#_x0000_t202" style="position:absolute;left:0;text-align:left;margin-left:157.15pt;margin-top:169.6pt;width:157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" stroked="f">
                <v:textbox style="mso-fit-shape-to-text:t" inset="0,0,0,0">
                  <w:txbxContent>
                    <w:p w:rsidR="00CC5623" w:rsidRPr="00CC5623" w:rsidRDefault="00CC5623" w:rsidP="00CC5623">
                      <w:pPr>
                        <w:pStyle w:val="Beschriftung"/>
                        <w:rPr>
                          <w:noProof/>
                          <w:color w:val="1D1B11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D45FB9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Ausfallen von blauem Kupferhydroxid.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5623">
        <w:rPr>
          <w:rFonts w:ascii="Cambria" w:eastAsia="Calibri" w:hAnsi="Cambria" w:cs="Arial"/>
          <w:noProof/>
          <w:color w:val="1D1B11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CD7DC" wp14:editId="0A11F18F">
                <wp:simplePos x="0" y="0"/>
                <wp:positionH relativeFrom="column">
                  <wp:posOffset>3983355</wp:posOffset>
                </wp:positionH>
                <wp:positionV relativeFrom="paragraph">
                  <wp:posOffset>2150745</wp:posOffset>
                </wp:positionV>
                <wp:extent cx="1828800" cy="635"/>
                <wp:effectExtent l="0" t="0" r="0" b="5080"/>
                <wp:wrapSquare wrapText="bothSides"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5623" w:rsidRPr="00CC5623" w:rsidRDefault="00CC5623" w:rsidP="00CC5623">
                            <w:pPr>
                              <w:pStyle w:val="Beschriftung"/>
                              <w:rPr>
                                <w:noProof/>
                                <w:color w:val="1D1B11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t>3:</w:t>
                            </w:r>
                            <w:r>
                              <w:t xml:space="preserve"> Nach dem Schütteln der Lösung.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CD7DC" id="Textfeld 54" o:spid="_x0000_s1027" type="#_x0000_t202" style="position:absolute;left:0;text-align:left;margin-left:313.65pt;margin-top:169.35pt;width:2in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" stroked="f">
                <v:textbox style="mso-fit-shape-to-text:t" inset="0,0,0,0">
                  <w:txbxContent>
                    <w:p w:rsidR="00CC5623" w:rsidRPr="00CC5623" w:rsidRDefault="00CC5623" w:rsidP="00CC5623">
                      <w:pPr>
                        <w:pStyle w:val="Beschriftung"/>
                        <w:rPr>
                          <w:noProof/>
                          <w:color w:val="1D1B11"/>
                        </w:rPr>
                      </w:pPr>
                      <w:r>
                        <w:t xml:space="preserve">Abbildung </w:t>
                      </w:r>
                      <w:r>
                        <w:t>3:</w:t>
                      </w:r>
                      <w:r>
                        <w:t xml:space="preserve"> Nach dem Schütteln der Lösung.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5623">
        <w:rPr>
          <w:rFonts w:ascii="Cambria" w:eastAsia="Calibri" w:hAnsi="Cambria" w:cs="Arial"/>
          <w:noProof/>
          <w:color w:val="1D1B1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0042D" wp14:editId="6F3D10FB">
                <wp:simplePos x="0" y="0"/>
                <wp:positionH relativeFrom="margin">
                  <wp:align>left</wp:align>
                </wp:positionH>
                <wp:positionV relativeFrom="paragraph">
                  <wp:posOffset>2155825</wp:posOffset>
                </wp:positionV>
                <wp:extent cx="1932305" cy="635"/>
                <wp:effectExtent l="0" t="0" r="0" b="0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5623" w:rsidRPr="00CC5623" w:rsidRDefault="00CC5623" w:rsidP="00CC5623">
                            <w:pPr>
                              <w:pStyle w:val="Beschriftung"/>
                              <w:rPr>
                                <w:noProof/>
                                <w:color w:val="1D1B11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="00D45FB9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Versuchsaufbau: link</w:t>
                            </w:r>
                            <w:bookmarkStart w:id="1" w:name="_GoBack"/>
                            <w:bookmarkEnd w:id="1"/>
                            <w:r>
                              <w:t>s Eiklar, rechts Proteinpulver.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0042D" id="Textfeld 52" o:spid="_x0000_s1028" type="#_x0000_t202" style="position:absolute;left:0;text-align:left;margin-left:0;margin-top:169.75pt;width:152.15pt;height:.0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" stroked="f">
                <v:textbox style="mso-fit-shape-to-text:t" inset="0,0,0,0">
                  <w:txbxContent>
                    <w:p w:rsidR="00CC5623" w:rsidRPr="00CC5623" w:rsidRDefault="00CC5623" w:rsidP="00CC5623">
                      <w:pPr>
                        <w:pStyle w:val="Beschriftung"/>
                        <w:rPr>
                          <w:noProof/>
                          <w:color w:val="1D1B11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D45FB9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Versuchsaufbau: link</w:t>
                      </w:r>
                      <w:bookmarkStart w:id="2" w:name="_GoBack"/>
                      <w:bookmarkEnd w:id="2"/>
                      <w:r>
                        <w:t>s Eiklar, rechts Proteinpulver.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5623">
        <w:rPr>
          <w:rFonts w:ascii="Cambria" w:eastAsia="Calibri" w:hAnsi="Cambria" w:cs="Arial"/>
          <w:noProof/>
          <w:color w:val="1D1B11"/>
          <w:lang w:eastAsia="de-DE"/>
        </w:rPr>
        <w:drawing>
          <wp:anchor distT="0" distB="0" distL="114300" distR="114300" simplePos="0" relativeHeight="251659264" behindDoc="0" locked="0" layoutInCell="1" allowOverlap="1" wp14:anchorId="254C4076" wp14:editId="7951C675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1962150" cy="1905000"/>
            <wp:effectExtent l="0" t="0" r="0" b="0"/>
            <wp:wrapSquare wrapText="bothSides"/>
            <wp:docPr id="51" name="Grafik 51" descr="C:\Users\ACER\AppData\Local\Microsoft\Windows\INetCache\Content.Word\DSC_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CER\AppData\Local\Microsoft\Windows\INetCache\Content.Word\DSC_3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1260"/>
                    <a:stretch/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623">
        <w:rPr>
          <w:rFonts w:ascii="Cambria" w:eastAsia="Calibri" w:hAnsi="Cambria" w:cs="Arial"/>
          <w:noProof/>
          <w:color w:val="1D1B11"/>
          <w:lang w:eastAsia="de-DE"/>
        </w:rPr>
        <w:drawing>
          <wp:anchor distT="0" distB="0" distL="114300" distR="114300" simplePos="0" relativeHeight="251661312" behindDoc="0" locked="0" layoutInCell="1" allowOverlap="1" wp14:anchorId="6D6CBE3B" wp14:editId="7FCAE1FA">
            <wp:simplePos x="0" y="0"/>
            <wp:positionH relativeFrom="column">
              <wp:posOffset>1986280</wp:posOffset>
            </wp:positionH>
            <wp:positionV relativeFrom="paragraph">
              <wp:posOffset>222250</wp:posOffset>
            </wp:positionV>
            <wp:extent cx="1982470" cy="2095500"/>
            <wp:effectExtent l="0" t="0" r="0" b="0"/>
            <wp:wrapSquare wrapText="bothSides"/>
            <wp:docPr id="53" name="Grafik 53" descr="C:\Users\ACER\AppData\Local\Microsoft\Windows\INetCache\Content.Word\DSC_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CER\AppData\Local\Microsoft\Windows\INetCache\Content.Word\DSC_3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699"/>
                    <a:stretch/>
                  </pic:blipFill>
                  <pic:spPr bwMode="auto">
                    <a:xfrm>
                      <a:off x="0" y="0"/>
                      <a:ext cx="19824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623">
        <w:rPr>
          <w:rFonts w:ascii="Cambria" w:eastAsia="Calibri" w:hAnsi="Cambria" w:cs="Arial"/>
          <w:b/>
          <w:color w:val="1D1B11"/>
        </w:rPr>
        <w:t>Beobachtung: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lastRenderedPageBreak/>
        <w:t xml:space="preserve">Nach Zugabe der Kupfersulfat-Lösung färben sich die Lösungen von Eiklar und Proteinpulver erst türkis und nach dem Schütteln violett. </w:t>
      </w:r>
    </w:p>
    <w:p w:rsidR="00CC5623" w:rsidRPr="00CC5623" w:rsidRDefault="00CC5623" w:rsidP="00CC5623">
      <w:pPr>
        <w:spacing w:after="0" w:line="360" w:lineRule="auto"/>
        <w:jc w:val="both"/>
        <w:rPr>
          <w:rFonts w:ascii="Cambria" w:eastAsia="Calibri" w:hAnsi="Cambria" w:cs="Arial"/>
          <w:color w:val="1D1B11"/>
        </w:rPr>
      </w:pP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Deutung: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Sowohl das Eiklar als auch das Proteinpulver enthalten Proteine, die aus Aminosäuren bestehen. Die Aminosäuren sind untereinander durch die Peptidbindung verbunden. 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 xml:space="preserve">Bei Zugabe von Kupfersulfat-Lösung fällt in der alkalischen Lösung blaues Kupferhydroxid aus. 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MS Mincho" w:hAnsi="Cambria" w:cs="Arial"/>
          <w:color w:val="1D1B11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2+</m:t>
                  </m:r>
                </m:sup>
              </m:sSup>
            </m:e>
            <m:sub>
              <m:d>
                <m:d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d>
                <m:d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→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Cu</m:t>
              </m:r>
              <m:d>
                <m:d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OH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 xml:space="preserve">2 </m:t>
              </m:r>
              <m:d>
                <m:d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s</m:t>
                  </m:r>
                </m:e>
              </m:d>
            </m:sub>
          </m:sSub>
        </m:oMath>
      </m:oMathPara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MS Mincho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>Dieser Niederschlag löst sich bei Anwesenheit von Amino-Gruppen wie in der Peptidbindung, da die Kupfer-Ionen durch die freien Elektronenpaare der Stickstoffatome koordiniert werden und so ein löslicher violetter Komplex, der aus einem Kupfer(II)-Ion und vier Amino-Gruppen der Aminosäuren gebildet wird.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object w:dxaOrig="9481" w:dyaOrig="3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135pt" o:ole="">
            <v:imagedata r:id="rId28" o:title=""/>
          </v:shape>
          <o:OLEObject Type="Embed" ProgID="ACD.ChemSketch.20" ShapeID="_x0000_i1025" DrawAspect="Content" ObjectID="_1563790032" r:id="rId29"/>
        </w:object>
      </w:r>
    </w:p>
    <w:p w:rsidR="00CC5623" w:rsidRPr="00CC5623" w:rsidRDefault="00CC5623" w:rsidP="00CC5623">
      <w:pPr>
        <w:tabs>
          <w:tab w:val="left" w:pos="1701"/>
          <w:tab w:val="left" w:pos="1985"/>
        </w:tabs>
        <w:spacing w:after="200" w:line="360" w:lineRule="auto"/>
        <w:ind w:left="1980" w:hanging="1980"/>
        <w:contextualSpacing/>
        <w:jc w:val="both"/>
        <w:rPr>
          <w:rFonts w:ascii="Cambria" w:eastAsia="MS Mincho" w:hAnsi="Cambria" w:cs="Arial"/>
          <w:color w:val="1D1B11"/>
        </w:rPr>
      </w:pP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Entsorgung: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CC5623">
        <w:rPr>
          <w:rFonts w:ascii="Cambria" w:eastAsia="Calibri" w:hAnsi="Cambria" w:cs="Arial"/>
          <w:color w:val="1D1B11"/>
        </w:rPr>
        <w:t>Die Kupfersulfatlösungen werden im Abfall für saure Schwermetalle entsorgt.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CC5623" w:rsidRPr="00CC5623" w:rsidRDefault="00CC5623" w:rsidP="00CC5623">
      <w:pPr>
        <w:spacing w:after="200" w:line="360" w:lineRule="auto"/>
        <w:ind w:left="1701" w:hanging="1701"/>
        <w:contextualSpacing/>
        <w:jc w:val="both"/>
        <w:rPr>
          <w:rFonts w:ascii="Cambria" w:eastAsia="Calibri" w:hAnsi="Cambria" w:cs="Arial"/>
          <w:b/>
          <w:color w:val="1D1B11"/>
        </w:rPr>
      </w:pPr>
      <w:r w:rsidRPr="00CC5623">
        <w:rPr>
          <w:rFonts w:ascii="Cambria" w:eastAsia="Calibri" w:hAnsi="Cambria" w:cs="Arial"/>
          <w:b/>
          <w:color w:val="1D1B11"/>
        </w:rPr>
        <w:t>Literatur: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CC5623">
        <w:rPr>
          <w:rFonts w:ascii="Cambria" w:eastAsia="Calibri" w:hAnsi="Cambria" w:cs="Arial"/>
        </w:rPr>
        <w:t>[1] M. Tausch et al. Chemie 2000+, C.C. Buchner 2010, S. 378.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  <w:b/>
        </w:rPr>
      </w:pPr>
      <w:r w:rsidRPr="00CC5623">
        <w:rPr>
          <w:rFonts w:ascii="Cambria" w:eastAsia="Calibri" w:hAnsi="Cambria" w:cs="Arial"/>
          <w:b/>
        </w:rPr>
        <w:t xml:space="preserve">Unterrichtsanschlüsse: </w:t>
      </w:r>
    </w:p>
    <w:p w:rsidR="00CC5623" w:rsidRPr="00CC5623" w:rsidRDefault="00CC5623" w:rsidP="00CC5623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CC5623">
        <w:rPr>
          <w:rFonts w:ascii="Cambria" w:eastAsia="Calibri" w:hAnsi="Cambria" w:cs="Arial"/>
        </w:rPr>
        <w:t xml:space="preserve">Dieser Versuch kann im Anschluss an die Einführung der Peptidbindung oder als alternativer Nachweis von Proteinen im Vergleich zur </w:t>
      </w:r>
      <w:proofErr w:type="spellStart"/>
      <w:r w:rsidRPr="00CC5623">
        <w:rPr>
          <w:rFonts w:ascii="Cambria" w:eastAsia="Calibri" w:hAnsi="Cambria" w:cs="Arial"/>
        </w:rPr>
        <w:t>Xanthoproteinreaktion</w:t>
      </w:r>
      <w:proofErr w:type="spellEnd"/>
      <w:r w:rsidRPr="00CC5623">
        <w:rPr>
          <w:rFonts w:ascii="Cambria" w:eastAsia="Calibri" w:hAnsi="Cambria" w:cs="Arial"/>
        </w:rPr>
        <w:t xml:space="preserve"> durchgeführt werden, um die Anwesenheit von Proteinen in Lebensmitteln zu bestätigen.</w:t>
      </w:r>
    </w:p>
    <w:p w:rsidR="009F5140" w:rsidRDefault="009F5140"/>
    <w:sectPr w:rsidR="009F5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3"/>
    <w:rsid w:val="009F5140"/>
    <w:rsid w:val="00CC5623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0F89"/>
  <w15:chartTrackingRefBased/>
  <w15:docId w15:val="{74542C71-19DD-477A-B233-EF7466BA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C56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microsoft.com/office/2007/relationships/hdphoto" Target="media/hdphoto6.wdp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hyperlink" Target="http://de.wikipedia.org/wiki/H-_und_P-S%C3%A4tze" TargetMode="Externa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hyperlink" Target="http://de.wikipedia.org/wiki/H-_und_P-S%C3%A4tze" TargetMode="External"/><Relationship Id="rId15" Type="http://schemas.microsoft.com/office/2007/relationships/hdphoto" Target="media/hdphoto4.wdp"/><Relationship Id="rId23" Type="http://schemas.openxmlformats.org/officeDocument/2006/relationships/image" Target="media/image10.jpeg"/><Relationship Id="rId28" Type="http://schemas.openxmlformats.org/officeDocument/2006/relationships/image" Target="media/image13.emf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hyperlink" Target="http://de.wikipedia.org/wiki/H-_und_P-S%C3%A4tze" TargetMode="Externa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microsoft.com/office/2007/relationships/hdphoto" Target="media/hdphoto8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2</cp:revision>
  <cp:lastPrinted>2017-08-09T11:21:00Z</cp:lastPrinted>
  <dcterms:created xsi:type="dcterms:W3CDTF">2017-08-09T11:16:00Z</dcterms:created>
  <dcterms:modified xsi:type="dcterms:W3CDTF">2017-08-09T11:21:00Z</dcterms:modified>
</cp:coreProperties>
</file>