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DB" w:rsidRPr="00A478DB" w:rsidRDefault="00A478DB" w:rsidP="00A478DB">
      <w:pPr>
        <w:tabs>
          <w:tab w:val="left" w:pos="1701"/>
          <w:tab w:val="left" w:pos="1985"/>
        </w:tabs>
        <w:spacing w:after="200" w:line="360" w:lineRule="auto"/>
        <w:contextualSpacing/>
        <w:jc w:val="both"/>
        <w:rPr>
          <w:rFonts w:ascii="Cambria" w:eastAsia="Calibri" w:hAnsi="Cambria" w:cs="Arial"/>
          <w:b/>
          <w:color w:val="1D1B11"/>
          <w:sz w:val="28"/>
        </w:rPr>
      </w:pPr>
      <w:r w:rsidRPr="00A478DB">
        <w:rPr>
          <w:rFonts w:ascii="Cambria" w:eastAsia="Calibri" w:hAnsi="Cambria" w:cs="Arial"/>
          <w:b/>
          <w:color w:val="1D1B11"/>
          <w:sz w:val="28"/>
        </w:rPr>
        <w:t>Arbeitsblatt – Nachweis von Zucker mit der Iod-Probe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Aufgabe 1): Beschreibe den Nachweis von Stärke mit Iod.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_______________________________________________________________________________________________________________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Aufgabe 2): Stelle die Redoxreaktion in Form von Reduktions-, Oxidations- und Gesamtgleichung auf.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Reduktion: __________________________________________________________________________________________________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Oxidation: __________________________________________________________________________________________________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Gesamtgleichung: __________________________________________________________________________________________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A478DB">
        <w:rPr>
          <w:rFonts w:ascii="Cambria" w:eastAsia="Calibri" w:hAnsi="Cambria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DFBE31" wp14:editId="2390443B">
                <wp:simplePos x="0" y="0"/>
                <wp:positionH relativeFrom="margin">
                  <wp:align>right</wp:align>
                </wp:positionH>
                <wp:positionV relativeFrom="paragraph">
                  <wp:posOffset>806450</wp:posOffset>
                </wp:positionV>
                <wp:extent cx="5695950" cy="2838450"/>
                <wp:effectExtent l="0" t="0" r="19050" b="19050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8DB" w:rsidRDefault="00A478DB" w:rsidP="00A47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FBE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7.3pt;margin-top:63.5pt;width:448.5pt;height:22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">
                <v:textbox>
                  <w:txbxContent>
                    <w:p w:rsidR="00A478DB" w:rsidRDefault="00A478DB" w:rsidP="00A478DB"/>
                  </w:txbxContent>
                </v:textbox>
                <w10:wrap type="square" anchorx="margin"/>
              </v:shape>
            </w:pict>
          </mc:Fallback>
        </mc:AlternateContent>
      </w:r>
      <w:r w:rsidRPr="00A478DB">
        <w:rPr>
          <w:rFonts w:ascii="Cambria" w:eastAsia="Calibri" w:hAnsi="Cambria" w:cs="Arial"/>
        </w:rPr>
        <w:t xml:space="preserve">Aufgabe 3): Beurteile, in welchem Zeitumfang Fructose mit der Iod-Probe nachgewiesen werden kann. Hinweis: Recherchiere die </w:t>
      </w:r>
      <w:r w:rsidRPr="00A478DB">
        <w:rPr>
          <w:rFonts w:ascii="Cambria" w:eastAsia="Calibri" w:hAnsi="Cambria" w:cs="Arial"/>
          <w:color w:val="1D1B11"/>
        </w:rPr>
        <w:t>de-Bruyn-van-</w:t>
      </w:r>
      <w:proofErr w:type="spellStart"/>
      <w:r w:rsidRPr="00A478DB">
        <w:rPr>
          <w:rFonts w:ascii="Cambria" w:eastAsia="Calibri" w:hAnsi="Cambria" w:cs="Arial"/>
          <w:color w:val="1D1B11"/>
        </w:rPr>
        <w:t>Ekenstein</w:t>
      </w:r>
      <w:proofErr w:type="spellEnd"/>
      <w:r w:rsidRPr="00A478DB">
        <w:rPr>
          <w:rFonts w:ascii="Cambria" w:eastAsia="Calibri" w:hAnsi="Cambria" w:cs="Arial"/>
          <w:color w:val="1D1B11"/>
        </w:rPr>
        <w:t>-Umlagerung und skizziere den Mechanismus.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  <w:sectPr w:rsidR="00A478DB" w:rsidRPr="00A478DB" w:rsidSect="0049087A">
          <w:headerReference w:type="default" r:id="rId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A478DB" w:rsidRPr="00A478DB" w:rsidRDefault="00A478DB" w:rsidP="00A478DB">
      <w:pPr>
        <w:keepNext/>
        <w:keepLines/>
        <w:spacing w:before="360" w:after="240" w:line="360" w:lineRule="auto"/>
        <w:ind w:left="432" w:hanging="432"/>
        <w:contextualSpacing/>
        <w:jc w:val="both"/>
        <w:outlineLvl w:val="0"/>
        <w:rPr>
          <w:rFonts w:ascii="Cambria" w:eastAsia="MS Gothic" w:hAnsi="Cambria" w:cs="Times New Roman"/>
          <w:b/>
          <w:bCs/>
          <w:sz w:val="28"/>
          <w:szCs w:val="28"/>
        </w:rPr>
      </w:pPr>
      <w:bookmarkStart w:id="0" w:name="_Toc489871562"/>
      <w:r w:rsidRPr="00A478DB">
        <w:rPr>
          <w:rFonts w:ascii="Cambria" w:eastAsia="MS Gothic" w:hAnsi="Cambria" w:cs="Times New Roman"/>
          <w:b/>
          <w:bCs/>
          <w:sz w:val="28"/>
          <w:szCs w:val="28"/>
        </w:rPr>
        <w:lastRenderedPageBreak/>
        <w:t>Didaktischer Kommentar zum Schü</w:t>
      </w:r>
      <w:bookmarkStart w:id="1" w:name="_GoBack"/>
      <w:bookmarkEnd w:id="1"/>
      <w:r w:rsidRPr="00A478DB">
        <w:rPr>
          <w:rFonts w:ascii="Cambria" w:eastAsia="MS Gothic" w:hAnsi="Cambria" w:cs="Times New Roman"/>
          <w:b/>
          <w:bCs/>
          <w:sz w:val="28"/>
          <w:szCs w:val="28"/>
        </w:rPr>
        <w:t>lerarbeitsblatt</w:t>
      </w:r>
      <w:bookmarkEnd w:id="0"/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 xml:space="preserve">Das Arbeitsblatt kann nach dem Versuch Iod-Probe eingesetzt werden. Es dient der Vertiefung und Festigung der Versuchsinhalte. Mit dem Arbeitsblatt soll erreicht werden, dass die </w:t>
      </w:r>
      <w:proofErr w:type="spellStart"/>
      <w:r w:rsidRPr="00A478DB">
        <w:rPr>
          <w:rFonts w:ascii="Cambria" w:eastAsia="Calibri" w:hAnsi="Cambria" w:cs="Arial"/>
        </w:rPr>
        <w:t>SuS</w:t>
      </w:r>
      <w:proofErr w:type="spellEnd"/>
      <w:r w:rsidRPr="00A478DB">
        <w:rPr>
          <w:rFonts w:ascii="Cambria" w:eastAsia="Calibri" w:hAnsi="Cambria" w:cs="Arial"/>
        </w:rPr>
        <w:t xml:space="preserve"> den Iod-Stärke-Nachweis beschreiben, die </w:t>
      </w:r>
      <w:proofErr w:type="spellStart"/>
      <w:r w:rsidRPr="00A478DB">
        <w:rPr>
          <w:rFonts w:ascii="Cambria" w:eastAsia="Calibri" w:hAnsi="Cambria" w:cs="Arial"/>
        </w:rPr>
        <w:t>Redoxgleichung</w:t>
      </w:r>
      <w:proofErr w:type="spellEnd"/>
      <w:r w:rsidRPr="00A478DB">
        <w:rPr>
          <w:rFonts w:ascii="Cambria" w:eastAsia="Calibri" w:hAnsi="Cambria" w:cs="Arial"/>
        </w:rPr>
        <w:t xml:space="preserve"> der Versuchsreaktion aufstellen und nach einer Recherche erläutern, warum auch Fructose mit der Iod-Probe nachgewiesen werden kann.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 xml:space="preserve">Als Vorwissen werden Kenntnisse über das Aufstellen von </w:t>
      </w:r>
      <w:proofErr w:type="spellStart"/>
      <w:r w:rsidRPr="00A478DB">
        <w:rPr>
          <w:rFonts w:ascii="Cambria" w:eastAsia="Calibri" w:hAnsi="Cambria" w:cs="Arial"/>
        </w:rPr>
        <w:t>Redoxgleichungen</w:t>
      </w:r>
      <w:proofErr w:type="spellEnd"/>
      <w:r w:rsidRPr="00A478DB">
        <w:rPr>
          <w:rFonts w:ascii="Cambria" w:eastAsia="Calibri" w:hAnsi="Cambria" w:cs="Arial"/>
        </w:rPr>
        <w:t xml:space="preserve"> und die Unterschiede von reduzierende und nicht reduzierende Zucker benötigt.</w:t>
      </w:r>
    </w:p>
    <w:p w:rsidR="00A478DB" w:rsidRPr="00A478DB" w:rsidRDefault="00A478DB" w:rsidP="00A478DB">
      <w:pPr>
        <w:keepNext/>
        <w:keepLines/>
        <w:numPr>
          <w:ilvl w:val="1"/>
          <w:numId w:val="0"/>
        </w:numPr>
        <w:spacing w:before="200" w:after="200" w:line="360" w:lineRule="auto"/>
        <w:ind w:left="576" w:hanging="576"/>
        <w:contextualSpacing/>
        <w:jc w:val="both"/>
        <w:outlineLvl w:val="1"/>
        <w:rPr>
          <w:rFonts w:ascii="Cambria" w:eastAsia="MS Gothic" w:hAnsi="Cambria" w:cs="Times New Roman"/>
          <w:b/>
          <w:bCs/>
          <w:szCs w:val="26"/>
        </w:rPr>
      </w:pPr>
      <w:bookmarkStart w:id="2" w:name="_Toc489871563"/>
      <w:r w:rsidRPr="00A478DB">
        <w:rPr>
          <w:rFonts w:ascii="Cambria" w:eastAsia="MS Gothic" w:hAnsi="Cambria" w:cs="Times New Roman"/>
          <w:b/>
          <w:bCs/>
          <w:szCs w:val="26"/>
        </w:rPr>
        <w:t>Erwartungshorizont (Kerncurriculum)</w:t>
      </w:r>
      <w:bookmarkEnd w:id="2"/>
    </w:p>
    <w:p w:rsidR="00A478DB" w:rsidRPr="00A478DB" w:rsidRDefault="00A478DB" w:rsidP="00A478DB">
      <w:pPr>
        <w:tabs>
          <w:tab w:val="left" w:pos="0"/>
        </w:tabs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 xml:space="preserve">Um Aufgabe 1 zu beantworten, sollen die </w:t>
      </w:r>
      <w:proofErr w:type="spellStart"/>
      <w:r w:rsidRPr="00A478DB">
        <w:rPr>
          <w:rFonts w:ascii="Cambria" w:eastAsia="Calibri" w:hAnsi="Cambria" w:cs="Arial"/>
        </w:rPr>
        <w:t>SuS</w:t>
      </w:r>
      <w:proofErr w:type="spellEnd"/>
      <w:r w:rsidRPr="00A478DB">
        <w:rPr>
          <w:rFonts w:ascii="Cambria" w:eastAsia="Calibri" w:hAnsi="Cambria" w:cs="Arial"/>
        </w:rPr>
        <w:t xml:space="preserve"> den Iod-Stärke-Nachweis beschreiben. Damit wird die Kompetenz Fachwissen im Basiskonzept Stoff-Teilchen gefördert, da sie die Iod-Stärke-Reaktion beschreiben, und die Kompetenz Erkenntnisgewinnung, wenn sie die Nachweisreaktion durchführen. Außerdem wird die Kompetenz Kommunikation ausgebaut, wenn sie die Aussagekraft der Nachweisreaktion diskutieren.</w:t>
      </w:r>
      <w:r w:rsidRPr="00A478DB">
        <w:rPr>
          <w:rFonts w:ascii="Cambria" w:eastAsia="Calibri" w:hAnsi="Cambria" w:cs="Arial"/>
          <w:vertAlign w:val="superscript"/>
        </w:rPr>
        <w:footnoteReference w:id="1"/>
      </w:r>
      <w:r w:rsidRPr="00A478DB">
        <w:rPr>
          <w:rFonts w:ascii="Cambria" w:eastAsia="Calibri" w:hAnsi="Cambria" w:cs="Arial"/>
        </w:rPr>
        <w:t xml:space="preserve"> Dem Anforderungsbereich I ist diese Aufgabe zugeordnet, weil die Kenntnisse über die Iod-Stärke-Reaktion zielgerichtet wiedergeben.</w:t>
      </w:r>
    </w:p>
    <w:p w:rsidR="00A478DB" w:rsidRPr="00A478DB" w:rsidRDefault="00A478DB" w:rsidP="00A478DB">
      <w:pPr>
        <w:tabs>
          <w:tab w:val="left" w:pos="0"/>
        </w:tabs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ab/>
        <w:t xml:space="preserve">Die Aufgabe 2 soll die Kompetenz Kommunikation im Basiskonzept Donator-Akzeptor fördern, wenn die </w:t>
      </w:r>
      <w:proofErr w:type="spellStart"/>
      <w:r w:rsidRPr="00A478DB">
        <w:rPr>
          <w:rFonts w:ascii="Cambria" w:eastAsia="Calibri" w:hAnsi="Cambria" w:cs="Arial"/>
        </w:rPr>
        <w:t>SuS</w:t>
      </w:r>
      <w:proofErr w:type="spellEnd"/>
      <w:r w:rsidRPr="00A478DB">
        <w:rPr>
          <w:rFonts w:ascii="Cambria" w:eastAsia="Calibri" w:hAnsi="Cambria" w:cs="Arial"/>
        </w:rPr>
        <w:t xml:space="preserve"> </w:t>
      </w:r>
      <w:proofErr w:type="spellStart"/>
      <w:r w:rsidRPr="00A478DB">
        <w:rPr>
          <w:rFonts w:ascii="Cambria" w:eastAsia="Calibri" w:hAnsi="Cambria" w:cs="Arial"/>
        </w:rPr>
        <w:t>Redoxgleichungen</w:t>
      </w:r>
      <w:proofErr w:type="spellEnd"/>
      <w:r w:rsidRPr="00A478DB">
        <w:rPr>
          <w:rFonts w:ascii="Cambria" w:eastAsia="Calibri" w:hAnsi="Cambria" w:cs="Arial"/>
        </w:rPr>
        <w:t xml:space="preserve"> in Form von Teil- und Gesamtgleichungen dar und dabei Fachbegriffe zu Redoxreaktion anwenden.</w:t>
      </w:r>
      <w:r w:rsidRPr="00A478DB">
        <w:rPr>
          <w:rFonts w:ascii="Cambria" w:eastAsia="Calibri" w:hAnsi="Cambria" w:cs="Arial"/>
          <w:vertAlign w:val="superscript"/>
        </w:rPr>
        <w:footnoteReference w:id="2"/>
      </w:r>
      <w:r w:rsidRPr="00A478DB">
        <w:rPr>
          <w:rFonts w:ascii="Cambria" w:eastAsia="Calibri" w:hAnsi="Cambria" w:cs="Arial"/>
        </w:rPr>
        <w:t xml:space="preserve"> Diese Aufgabe ist dem Anforderungsbereich II zugeordnet, weil die </w:t>
      </w:r>
      <w:proofErr w:type="spellStart"/>
      <w:r w:rsidRPr="00A478DB">
        <w:rPr>
          <w:rFonts w:ascii="Cambria" w:eastAsia="Calibri" w:hAnsi="Cambria" w:cs="Arial"/>
        </w:rPr>
        <w:t>SuS</w:t>
      </w:r>
      <w:proofErr w:type="spellEnd"/>
      <w:r w:rsidRPr="00A478DB">
        <w:rPr>
          <w:rFonts w:ascii="Cambria" w:eastAsia="Calibri" w:hAnsi="Cambria" w:cs="Arial"/>
        </w:rPr>
        <w:t xml:space="preserve"> Informationen über die ablaufende Reaktion erfassen und in geeigneten Darstellungsformen veranschaulichen.</w:t>
      </w:r>
    </w:p>
    <w:p w:rsidR="00A478DB" w:rsidRPr="00A478DB" w:rsidRDefault="00A478DB" w:rsidP="00A478DB">
      <w:pPr>
        <w:tabs>
          <w:tab w:val="left" w:pos="0"/>
        </w:tabs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ab/>
        <w:t xml:space="preserve">Mit der Aufgabe 3 soll die Kompetenz Fachwissen im Basiskonzept Stoff-Teilchen gefördert werden, wenn die </w:t>
      </w:r>
      <w:proofErr w:type="spellStart"/>
      <w:r w:rsidRPr="00A478DB">
        <w:rPr>
          <w:rFonts w:ascii="Cambria" w:eastAsia="Calibri" w:hAnsi="Cambria" w:cs="Arial"/>
        </w:rPr>
        <w:t>SuS</w:t>
      </w:r>
      <w:proofErr w:type="spellEnd"/>
      <w:r w:rsidRPr="00A478DB">
        <w:rPr>
          <w:rFonts w:ascii="Cambria" w:eastAsia="Calibri" w:hAnsi="Cambria" w:cs="Arial"/>
        </w:rPr>
        <w:t xml:space="preserve"> Glucose, Fructose und Saccharose – also reduzierende und nicht reduzierende Zucker – klassifizieren. Außerdem wird die Kompetenz Erkenntnisgewinnung gefördert, indem sie die Eigenschaften experimentell untersuchen.</w:t>
      </w:r>
      <w:r w:rsidRPr="00A478DB">
        <w:rPr>
          <w:rFonts w:ascii="Cambria" w:eastAsia="Calibri" w:hAnsi="Cambria" w:cs="Arial"/>
          <w:vertAlign w:val="superscript"/>
        </w:rPr>
        <w:footnoteReference w:id="3"/>
      </w:r>
      <w:r w:rsidRPr="00A478DB">
        <w:rPr>
          <w:rFonts w:ascii="Cambria" w:eastAsia="Calibri" w:hAnsi="Cambria" w:cs="Arial"/>
        </w:rPr>
        <w:t xml:space="preserve"> Zuletzt wird die Kompetenz Kommunikation ausgebaut, wenn die Aussagekraft der Nachweisreaktion diskutiert wird.</w:t>
      </w:r>
      <w:r w:rsidRPr="00A478DB">
        <w:rPr>
          <w:rFonts w:ascii="Cambria" w:eastAsia="Calibri" w:hAnsi="Cambria" w:cs="Arial"/>
          <w:vertAlign w:val="superscript"/>
        </w:rPr>
        <w:footnoteReference w:id="4"/>
      </w:r>
      <w:r w:rsidRPr="00A478DB">
        <w:rPr>
          <w:rFonts w:ascii="Cambria" w:eastAsia="Calibri" w:hAnsi="Cambria" w:cs="Arial"/>
        </w:rPr>
        <w:t xml:space="preserve"> Diese Aufgabe ist dem Anforderungsbereich III zugeordnet, weil die </w:t>
      </w:r>
      <w:proofErr w:type="spellStart"/>
      <w:r w:rsidRPr="00A478DB">
        <w:rPr>
          <w:rFonts w:ascii="Cambria" w:eastAsia="Calibri" w:hAnsi="Cambria" w:cs="Arial"/>
        </w:rPr>
        <w:t>SuS</w:t>
      </w:r>
      <w:proofErr w:type="spellEnd"/>
      <w:r w:rsidRPr="00A478DB">
        <w:rPr>
          <w:rFonts w:ascii="Cambria" w:eastAsia="Calibri" w:hAnsi="Cambria" w:cs="Arial"/>
        </w:rPr>
        <w:t xml:space="preserve"> die komplexe Fragestellung auf Grundlage der Kenntnisse über reduzierende und nicht-reduzierende Zucker und deren Umwandlung bearbeiten.</w:t>
      </w:r>
    </w:p>
    <w:p w:rsidR="00A478DB" w:rsidRPr="00A478DB" w:rsidRDefault="00A478DB" w:rsidP="00A478DB">
      <w:pPr>
        <w:spacing w:after="200" w:line="360" w:lineRule="auto"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br w:type="page"/>
      </w:r>
    </w:p>
    <w:p w:rsidR="00A478DB" w:rsidRPr="00A478DB" w:rsidRDefault="00A478DB" w:rsidP="00A478DB">
      <w:pPr>
        <w:keepNext/>
        <w:keepLines/>
        <w:numPr>
          <w:ilvl w:val="1"/>
          <w:numId w:val="0"/>
        </w:numPr>
        <w:spacing w:before="200" w:after="200" w:line="360" w:lineRule="auto"/>
        <w:ind w:left="576" w:hanging="576"/>
        <w:contextualSpacing/>
        <w:jc w:val="both"/>
        <w:outlineLvl w:val="1"/>
        <w:rPr>
          <w:rFonts w:ascii="Cambria" w:eastAsia="MS Gothic" w:hAnsi="Cambria" w:cs="Times New Roman"/>
          <w:b/>
          <w:bCs/>
          <w:szCs w:val="26"/>
        </w:rPr>
      </w:pPr>
      <w:bookmarkStart w:id="3" w:name="_Toc489871564"/>
      <w:r w:rsidRPr="00A478DB">
        <w:rPr>
          <w:rFonts w:ascii="Cambria" w:eastAsia="MS Gothic" w:hAnsi="Cambria" w:cs="Times New Roman"/>
          <w:b/>
          <w:bCs/>
          <w:szCs w:val="26"/>
        </w:rPr>
        <w:lastRenderedPageBreak/>
        <w:t>Erwartungshorizont (Inhaltlich)</w:t>
      </w:r>
      <w:bookmarkEnd w:id="3"/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Aufgabe 1): Beschreibe den Nachweis von Stärke mit Iod.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Bei der Reaktion von Iod und Stärke entsteht ein dunkelblauer Iod-Stärke-Komplex. Das Iod</w:t>
      </w:r>
      <w:r w:rsidRPr="00A478DB">
        <w:rPr>
          <w:rFonts w:ascii="Cambria" w:eastAsia="MS Mincho" w:hAnsi="Cambria" w:cs="Arial"/>
          <w:noProof/>
          <w:color w:val="1D1B11"/>
        </w:rPr>
        <w:t xml:space="preserve"> wird in die helikale Struktur der Amylose, ein wichtiger Bestandteil der Stärke, eingelagert.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</w:rPr>
        <w:t>Aufgabe 2): Stelle die Redoxreaktion in Form von Reduktions-, Oxidations- und Gesamtgleichung auf.</w:t>
      </w:r>
    </w:p>
    <w:p w:rsidR="00A478DB" w:rsidRPr="00A478DB" w:rsidRDefault="00A478DB" w:rsidP="00A478DB">
      <w:pPr>
        <w:tabs>
          <w:tab w:val="left" w:pos="1701"/>
          <w:tab w:val="left" w:pos="1985"/>
        </w:tabs>
        <w:spacing w:after="200" w:line="360" w:lineRule="auto"/>
        <w:contextualSpacing/>
        <w:jc w:val="both"/>
        <w:rPr>
          <w:rFonts w:ascii="Cambria" w:eastAsia="MS Mincho" w:hAnsi="Cambria" w:cs="Arial"/>
          <w:color w:val="1D1B11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Reduktion</m:t>
          </m:r>
          <m:r>
            <w:rPr>
              <w:rFonts w:ascii="Cambria Math" w:eastAsia="Calibri" w:hAnsi="Cambria Math" w:cs="Arial"/>
              <w:color w:val="1D1B11"/>
            </w:rPr>
            <m:t xml:space="preserve">: 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HO</m:t>
              </m:r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(+I)</m:t>
                  </m:r>
                </m:sup>
              </m:sSup>
            </m:e>
            <m:sub>
              <m:d>
                <m:d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aq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 xml:space="preserve">+2 </m:t>
          </m:r>
          <m:sSup>
            <m:sSupPr>
              <m:ctrlPr>
                <w:rPr>
                  <w:rFonts w:ascii="Cambria Math" w:eastAsia="Calibri" w:hAnsi="Cambria Math" w:cs="Arial"/>
                  <w:color w:val="1D1B1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-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⇌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-(-I)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</m:oMath>
      </m:oMathPara>
    </w:p>
    <w:p w:rsidR="00A478DB" w:rsidRPr="00A478DB" w:rsidRDefault="00F50CF2" w:rsidP="00A478DB">
      <w:pPr>
        <w:tabs>
          <w:tab w:val="left" w:pos="1701"/>
          <w:tab w:val="left" w:pos="1985"/>
        </w:tabs>
        <w:spacing w:after="200" w:line="360" w:lineRule="auto"/>
        <w:contextualSpacing/>
        <w:jc w:val="both"/>
        <w:rPr>
          <w:rFonts w:ascii="Cambria" w:eastAsia="MS Mincho" w:hAnsi="Cambria" w:cs="Arial"/>
          <w:color w:val="1D1B11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Oxidation: R-</m:t>
              </m:r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(+I)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HO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w:rPr>
                  <w:rFonts w:ascii="Cambria Math" w:eastAsia="Calibri" w:hAnsi="Cambria Math" w:cs="Arial"/>
                  <w:color w:val="1D1B11"/>
                </w:rPr>
                <m:t xml:space="preserve">3 </m:t>
              </m:r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→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R</m:t>
              </m:r>
              <m:sSup>
                <m:sSup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MS Mincho" w:hAnsi="Cambria Math" w:cs="Arial"/>
                          <w:color w:val="1D1B1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Arial"/>
                          <w:color w:val="1D1B11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Arial"/>
                          <w:color w:val="1D1B11"/>
                        </w:rPr>
                        <m:t>(+III)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OO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 xml:space="preserve">+2 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2</m:t>
              </m:r>
            </m:sub>
          </m:sSub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 xml:space="preserve">+2 </m:t>
          </m:r>
          <m:sSup>
            <m:sSupPr>
              <m:ctrlPr>
                <w:rPr>
                  <w:rFonts w:ascii="Cambria Math" w:eastAsia="Calibri" w:hAnsi="Cambria Math" w:cs="Arial"/>
                  <w:color w:val="1D1B1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-</m:t>
              </m:r>
            </m:sup>
          </m:sSup>
        </m:oMath>
      </m:oMathPara>
    </w:p>
    <w:p w:rsidR="00A478DB" w:rsidRPr="00A478DB" w:rsidRDefault="00A478DB" w:rsidP="00A478DB">
      <w:pPr>
        <w:tabs>
          <w:tab w:val="left" w:pos="0"/>
          <w:tab w:val="left" w:pos="1701"/>
        </w:tabs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Redox:</m:t>
          </m:r>
          <m:r>
            <w:rPr>
              <w:rFonts w:ascii="Cambria Math" w:eastAsia="Calibri" w:hAnsi="Cambria Math" w:cs="Arial"/>
              <w:color w:val="1D1B11"/>
            </w:rPr>
            <m:t xml:space="preserve"> 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R-CHO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HOI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 xml:space="preserve">+2 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>→</m:t>
          </m:r>
          <m:sSub>
            <m:sSubPr>
              <m:ctrlPr>
                <w:rPr>
                  <w:rFonts w:ascii="Cambria Math" w:eastAsia="MS Mincho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R</m:t>
              </m:r>
              <m:sSup>
                <m:sSupPr>
                  <m:ctrlPr>
                    <w:rPr>
                      <w:rFonts w:ascii="Cambria Math" w:eastAsia="MS Mincho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-COO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MS Mincho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MS Mincho" w:hAnsi="Cambria Math" w:cs="Arial"/>
              <w:color w:val="1D1B11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sSup>
                <m:sSupPr>
                  <m:ctrlPr>
                    <w:rPr>
                      <w:rFonts w:ascii="Cambria Math" w:eastAsia="Calibri" w:hAnsi="Cambria Math" w:cs="Arial"/>
                      <w:color w:val="1D1B1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1D1B11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(aq)</m:t>
              </m:r>
            </m:sub>
          </m:sSub>
          <m:r>
            <m:rPr>
              <m:sty m:val="p"/>
            </m:rPr>
            <w:rPr>
              <w:rFonts w:ascii="Cambria Math" w:eastAsia="Calibri" w:hAnsi="Cambria Math" w:cs="Arial"/>
              <w:color w:val="1D1B11"/>
            </w:rPr>
            <m:t xml:space="preserve">+2 </m:t>
          </m:r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2</m:t>
              </m:r>
            </m:sub>
          </m:sSub>
          <m:sSub>
            <m:sSubPr>
              <m:ctrlPr>
                <w:rPr>
                  <w:rFonts w:ascii="Cambria Math" w:eastAsia="Calibri" w:hAnsi="Cambria Math" w:cs="Arial"/>
                  <w:color w:val="1D1B1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color w:val="1D1B11"/>
                </w:rPr>
                <m:t>(l)</m:t>
              </m:r>
            </m:sub>
          </m:sSub>
        </m:oMath>
      </m:oMathPara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A478DB">
        <w:rPr>
          <w:rFonts w:ascii="Cambria" w:eastAsia="Calibri" w:hAnsi="Cambria" w:cs="Arial"/>
        </w:rPr>
        <w:t xml:space="preserve">Aufgabe 3 Beurteile, wie in welchem Zeitumfang auch Fructose mit der Iod-Probe nachgewiesen werden kann. Hinweis: Recherchiere die </w:t>
      </w:r>
      <w:r w:rsidRPr="00A478DB">
        <w:rPr>
          <w:rFonts w:ascii="Cambria" w:eastAsia="Calibri" w:hAnsi="Cambria" w:cs="Arial"/>
          <w:color w:val="1D1B11"/>
        </w:rPr>
        <w:t>de-Bruyn-van-</w:t>
      </w:r>
      <w:proofErr w:type="spellStart"/>
      <w:r w:rsidRPr="00A478DB">
        <w:rPr>
          <w:rFonts w:ascii="Cambria" w:eastAsia="Calibri" w:hAnsi="Cambria" w:cs="Arial"/>
          <w:color w:val="1D1B11"/>
        </w:rPr>
        <w:t>Ekenstein</w:t>
      </w:r>
      <w:proofErr w:type="spellEnd"/>
      <w:r w:rsidRPr="00A478DB">
        <w:rPr>
          <w:rFonts w:ascii="Cambria" w:eastAsia="Calibri" w:hAnsi="Cambria" w:cs="Arial"/>
          <w:color w:val="1D1B11"/>
        </w:rPr>
        <w:t>-Umlagerung und skizziere den Mechanismus.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  <w:r w:rsidRPr="00A478DB">
        <w:rPr>
          <w:rFonts w:ascii="Cambria" w:eastAsia="Calibri" w:hAnsi="Cambria" w:cs="Arial"/>
          <w:color w:val="1D1B11"/>
        </w:rPr>
        <w:t>Auch Fructose kann mit der Iod-Probe nachgewiesen werden, da die Fructose über die de-Bruyn-van-</w:t>
      </w:r>
      <w:proofErr w:type="spellStart"/>
      <w:r w:rsidRPr="00A478DB">
        <w:rPr>
          <w:rFonts w:ascii="Cambria" w:eastAsia="Calibri" w:hAnsi="Cambria" w:cs="Arial"/>
          <w:color w:val="1D1B11"/>
        </w:rPr>
        <w:t>Ekenstein</w:t>
      </w:r>
      <w:proofErr w:type="spellEnd"/>
      <w:r w:rsidRPr="00A478DB">
        <w:rPr>
          <w:rFonts w:ascii="Cambria" w:eastAsia="Calibri" w:hAnsi="Cambria" w:cs="Arial"/>
          <w:color w:val="1D1B11"/>
        </w:rPr>
        <w:t>-Umlagerung zur Glucose isomerisiert. Die Iod-Probe wird bei Fructose länger dauern, weil vorher die Isomerisierung zur Glucose stattfinden muss.</w: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  <w:color w:val="1D1B11"/>
        </w:rPr>
      </w:pP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  <w:r w:rsidRPr="00A478DB">
        <w:rPr>
          <w:rFonts w:ascii="Cambria" w:eastAsia="Calibri" w:hAnsi="Cambria" w:cs="Arial"/>
          <w:color w:val="1D1B11"/>
        </w:rPr>
        <w:object w:dxaOrig="4890" w:dyaOrig="3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50.75pt" o:ole="">
            <v:imagedata r:id="rId7" o:title=""/>
          </v:shape>
          <o:OLEObject Type="Embed" ProgID="ACD.ChemSketch.20" ShapeID="_x0000_i1025" DrawAspect="Content" ObjectID="_1563790116" r:id="rId8"/>
        </w:object>
      </w:r>
    </w:p>
    <w:p w:rsidR="00A478DB" w:rsidRPr="00A478DB" w:rsidRDefault="00A478DB" w:rsidP="00A478DB">
      <w:pPr>
        <w:spacing w:after="200" w:line="360" w:lineRule="auto"/>
        <w:contextualSpacing/>
        <w:jc w:val="both"/>
        <w:rPr>
          <w:rFonts w:ascii="Cambria" w:eastAsia="Calibri" w:hAnsi="Cambria" w:cs="Arial"/>
        </w:rPr>
      </w:pPr>
    </w:p>
    <w:p w:rsidR="009F5140" w:rsidRDefault="009F5140"/>
    <w:sectPr w:rsidR="009F5140" w:rsidSect="003F5195">
      <w:headerReference w:type="default" r:id="rId9"/>
      <w:pgSz w:w="11906" w:h="16838"/>
      <w:pgMar w:top="1417" w:right="1417" w:bottom="709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F2" w:rsidRDefault="00F50CF2" w:rsidP="00A478DB">
      <w:pPr>
        <w:spacing w:after="0" w:line="240" w:lineRule="auto"/>
      </w:pPr>
      <w:r>
        <w:separator/>
      </w:r>
    </w:p>
  </w:endnote>
  <w:endnote w:type="continuationSeparator" w:id="0">
    <w:p w:rsidR="00F50CF2" w:rsidRDefault="00F50CF2" w:rsidP="00A4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F2" w:rsidRDefault="00F50CF2" w:rsidP="00A478DB">
      <w:pPr>
        <w:spacing w:after="0" w:line="240" w:lineRule="auto"/>
      </w:pPr>
      <w:r>
        <w:separator/>
      </w:r>
    </w:p>
  </w:footnote>
  <w:footnote w:type="continuationSeparator" w:id="0">
    <w:p w:rsidR="00F50CF2" w:rsidRDefault="00F50CF2" w:rsidP="00A478DB">
      <w:pPr>
        <w:spacing w:after="0" w:line="240" w:lineRule="auto"/>
      </w:pPr>
      <w:r>
        <w:continuationSeparator/>
      </w:r>
    </w:p>
  </w:footnote>
  <w:footnote w:id="1">
    <w:p w:rsidR="00A478DB" w:rsidRDefault="00A478DB" w:rsidP="00A478DB">
      <w:pPr>
        <w:pStyle w:val="Funotentext1"/>
      </w:pPr>
      <w:r>
        <w:rPr>
          <w:rStyle w:val="Funotenzeichen"/>
        </w:rPr>
        <w:footnoteRef/>
      </w:r>
      <w:r>
        <w:t>KC, S. 19.</w:t>
      </w:r>
    </w:p>
  </w:footnote>
  <w:footnote w:id="2">
    <w:p w:rsidR="00A478DB" w:rsidRDefault="00A478DB" w:rsidP="00A478DB">
      <w:pPr>
        <w:pStyle w:val="Funotentext1"/>
      </w:pPr>
      <w:r>
        <w:rPr>
          <w:rStyle w:val="Funotenzeichen"/>
        </w:rPr>
        <w:footnoteRef/>
      </w:r>
      <w:r>
        <w:t xml:space="preserve"> Ebd. S. 23.</w:t>
      </w:r>
    </w:p>
  </w:footnote>
  <w:footnote w:id="3">
    <w:p w:rsidR="00A478DB" w:rsidRDefault="00A478DB" w:rsidP="00A478DB">
      <w:pPr>
        <w:pStyle w:val="Funotentext1"/>
      </w:pPr>
      <w:r>
        <w:rPr>
          <w:rStyle w:val="Funotenzeichen"/>
        </w:rPr>
        <w:footnoteRef/>
      </w:r>
      <w:r>
        <w:t xml:space="preserve"> Ebd. S. 18.</w:t>
      </w:r>
    </w:p>
  </w:footnote>
  <w:footnote w:id="4">
    <w:p w:rsidR="00A478DB" w:rsidRDefault="00A478DB" w:rsidP="00A478DB">
      <w:pPr>
        <w:pStyle w:val="Funotentext1"/>
      </w:pPr>
      <w:r>
        <w:rPr>
          <w:rStyle w:val="Funotenzeichen"/>
        </w:rPr>
        <w:footnoteRef/>
      </w:r>
      <w:r>
        <w:t xml:space="preserve"> Ebd. S. 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7362597"/>
      <w:docPartObj>
        <w:docPartGallery w:val="Page Numbers (Top of Page)"/>
        <w:docPartUnique/>
      </w:docPartObj>
    </w:sdtPr>
    <w:sdtEndPr/>
    <w:sdtContent>
      <w:p w:rsidR="00A478DB" w:rsidRPr="00A478DB" w:rsidRDefault="00F50CF2" w:rsidP="00337B69">
        <w:pPr>
          <w:pStyle w:val="Kopfzeile1"/>
          <w:tabs>
            <w:tab w:val="left" w:pos="0"/>
            <w:tab w:val="left" w:pos="284"/>
          </w:tabs>
          <w:jc w:val="right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78" w:rsidRPr="00445C03" w:rsidRDefault="00F50CF2" w:rsidP="00445C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DB"/>
    <w:rsid w:val="00445C03"/>
    <w:rsid w:val="009F5140"/>
    <w:rsid w:val="00A478DB"/>
    <w:rsid w:val="00CA2D19"/>
    <w:rsid w:val="00CE1C2B"/>
    <w:rsid w:val="00F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99CF-F8F6-4CDF-A8EB-FAF849F3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unhideWhenUsed/>
    <w:rsid w:val="00A478DB"/>
    <w:pPr>
      <w:tabs>
        <w:tab w:val="center" w:pos="4536"/>
        <w:tab w:val="right" w:pos="9072"/>
      </w:tabs>
      <w:spacing w:after="0" w:line="240" w:lineRule="auto"/>
      <w:jc w:val="both"/>
    </w:pPr>
    <w:rPr>
      <w:rFonts w:ascii="Cambria" w:hAnsi="Cambria"/>
      <w:color w:val="1D1B11"/>
    </w:rPr>
  </w:style>
  <w:style w:type="character" w:customStyle="1" w:styleId="KopfzeileZchn">
    <w:name w:val="Kopfzeile Zchn"/>
    <w:basedOn w:val="Absatz-Standardschriftart"/>
    <w:link w:val="Kopfzeile1"/>
    <w:uiPriority w:val="99"/>
    <w:rsid w:val="00A478DB"/>
    <w:rPr>
      <w:rFonts w:ascii="Cambria" w:hAnsi="Cambria"/>
      <w:color w:val="1D1B11"/>
    </w:rPr>
  </w:style>
  <w:style w:type="paragraph" w:customStyle="1" w:styleId="Funotentext1">
    <w:name w:val="Fußnotentext1"/>
    <w:basedOn w:val="Standard"/>
    <w:next w:val="Funotentext"/>
    <w:link w:val="FunotentextZchn"/>
    <w:uiPriority w:val="99"/>
    <w:semiHidden/>
    <w:unhideWhenUsed/>
    <w:rsid w:val="00A478DB"/>
    <w:pPr>
      <w:spacing w:after="0" w:line="240" w:lineRule="auto"/>
      <w:jc w:val="both"/>
    </w:pPr>
    <w:rPr>
      <w:rFonts w:ascii="Cambria" w:hAnsi="Cambria"/>
      <w:color w:val="1D1B11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rsid w:val="00A478DB"/>
    <w:rPr>
      <w:rFonts w:ascii="Cambria" w:hAnsi="Cambria"/>
      <w:color w:val="1D1B1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78DB"/>
    <w:rPr>
      <w:vertAlign w:val="superscript"/>
    </w:rPr>
  </w:style>
  <w:style w:type="paragraph" w:styleId="Kopfzeile">
    <w:name w:val="header"/>
    <w:basedOn w:val="Standard"/>
    <w:link w:val="KopfzeileZchn1"/>
    <w:uiPriority w:val="99"/>
    <w:unhideWhenUsed/>
    <w:rsid w:val="00A4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A478DB"/>
  </w:style>
  <w:style w:type="paragraph" w:styleId="Funotentext">
    <w:name w:val="footnote text"/>
    <w:basedOn w:val="Standard"/>
    <w:link w:val="FunotentextZchn1"/>
    <w:uiPriority w:val="99"/>
    <w:semiHidden/>
    <w:unhideWhenUsed/>
    <w:rsid w:val="00A478DB"/>
    <w:pPr>
      <w:spacing w:after="0" w:line="240" w:lineRule="auto"/>
    </w:pPr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uiPriority w:val="99"/>
    <w:semiHidden/>
    <w:rsid w:val="00A478DB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4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Schoeneich Hendrik</dc:creator>
  <cp:keywords/>
  <dc:description/>
  <cp:lastModifiedBy>Schoeneich Hendrik</cp:lastModifiedBy>
  <cp:revision>3</cp:revision>
  <cp:lastPrinted>2017-08-09T11:21:00Z</cp:lastPrinted>
  <dcterms:created xsi:type="dcterms:W3CDTF">2017-08-09T11:21:00Z</dcterms:created>
  <dcterms:modified xsi:type="dcterms:W3CDTF">2017-08-09T11:22:00Z</dcterms:modified>
</cp:coreProperties>
</file>