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3AB" w:rsidRDefault="004823AB" w:rsidP="004823AB">
      <w:pPr>
        <w:pStyle w:val="berschrift1"/>
        <w:keepNext/>
        <w:keepLines/>
        <w:numPr>
          <w:ilvl w:val="0"/>
          <w:numId w:val="0"/>
        </w:numPr>
        <w:spacing w:before="360" w:after="240"/>
        <w:contextualSpacing w:val="0"/>
      </w:pPr>
      <w:r>
        <w:rPr>
          <w:noProof/>
        </w:rPr>
        <w:pict>
          <v:shapetype id="_x0000_t202" coordsize="21600,21600" o:spt="202" path="m,l,21600r21600,l21600,xe">
            <v:stroke joinstyle="miter"/>
            <v:path gradientshapeok="t" o:connecttype="rect"/>
          </v:shapetype>
          <v:shape id="_x0000_s1042" type="#_x0000_t202" style="position:absolute;left:0;text-align:left;margin-left:-.05pt;margin-top:57.4pt;width:462.45pt;height:135.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042">
              <w:txbxContent>
                <w:p w:rsidR="004823AB" w:rsidRPr="00510778" w:rsidRDefault="004823AB" w:rsidP="004823AB">
                  <w:pPr>
                    <w:rPr>
                      <w:color w:val="auto"/>
                    </w:rPr>
                  </w:pPr>
                  <w:r w:rsidRPr="00510778">
                    <w:rPr>
                      <w:color w:val="auto"/>
                    </w:rPr>
                    <w:t>Wasser und Öl lieben sich nicht! Sie bilden getrennte Schichten, die durch Tenside, wie Spü</w:t>
                  </w:r>
                  <w:r w:rsidRPr="00510778">
                    <w:rPr>
                      <w:color w:val="auto"/>
                    </w:rPr>
                    <w:t>l</w:t>
                  </w:r>
                  <w:r w:rsidRPr="00510778">
                    <w:rPr>
                      <w:color w:val="auto"/>
                    </w:rPr>
                    <w:t xml:space="preserve">mittel, in eine Emulsion überführt werden können. Dies ist bei Verwendung farbiger Öle, wie Olivenöl deutlich sichtbar. Der Effekt kann durch Zugabe von Farbstoffen, wie Methylenblau (wasserlöslich) und </w:t>
                  </w:r>
                  <w:proofErr w:type="spellStart"/>
                  <w:r w:rsidRPr="00510778">
                    <w:rPr>
                      <w:color w:val="auto"/>
                    </w:rPr>
                    <w:t>Sudanrot</w:t>
                  </w:r>
                  <w:proofErr w:type="spellEnd"/>
                  <w:r w:rsidRPr="00510778">
                    <w:rPr>
                      <w:color w:val="auto"/>
                    </w:rPr>
                    <w:t xml:space="preserve"> (fettlöslich) verstärkt werden. SuS können durch den Versuch lernen, dass Öl und Wasser unterschiedliche Stoffeigenschaften haben und dass andere Stoffe in fett- und wasserlöslich klassifiziert werden können. Darüber hinaus wird deutlich, wie eine Emulsion gebildet wird.</w:t>
                  </w:r>
                </w:p>
              </w:txbxContent>
            </v:textbox>
            <w10:wrap type="square"/>
          </v:shape>
        </w:pict>
      </w:r>
      <w:bookmarkStart w:id="0" w:name="_Toc362814500"/>
      <w:r>
        <w:t>V 5 – Wasser und Öl</w:t>
      </w:r>
      <w:bookmarkEnd w:id="0"/>
      <w:r>
        <w:t xml:space="preserve"> </w:t>
      </w:r>
    </w:p>
    <w:p w:rsidR="004823AB" w:rsidRDefault="004823AB" w:rsidP="004823A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823AB" w:rsidRPr="00CD03BD" w:rsidTr="00CE48AB">
        <w:tc>
          <w:tcPr>
            <w:tcW w:w="9322" w:type="dxa"/>
            <w:gridSpan w:val="9"/>
            <w:shd w:val="clear" w:color="auto" w:fill="4F81BD"/>
            <w:vAlign w:val="center"/>
          </w:tcPr>
          <w:p w:rsidR="004823AB" w:rsidRPr="00CD03BD" w:rsidRDefault="004823AB" w:rsidP="00CE48AB">
            <w:pPr>
              <w:spacing w:after="0"/>
              <w:jc w:val="center"/>
              <w:rPr>
                <w:b/>
                <w:bCs/>
              </w:rPr>
            </w:pPr>
            <w:r w:rsidRPr="00CD03BD">
              <w:rPr>
                <w:b/>
                <w:bCs/>
              </w:rPr>
              <w:t>Gefahrenstoffe</w:t>
            </w:r>
          </w:p>
        </w:tc>
      </w:tr>
      <w:tr w:rsidR="004823AB" w:rsidRPr="00CD03BD"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823AB" w:rsidRPr="00CD03BD" w:rsidRDefault="004823AB" w:rsidP="00CE48AB">
            <w:pPr>
              <w:spacing w:after="0" w:line="276" w:lineRule="auto"/>
              <w:jc w:val="center"/>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23AB" w:rsidRPr="00CD03BD" w:rsidRDefault="004823AB" w:rsidP="00CE48AB">
            <w:pPr>
              <w:spacing w:after="0"/>
              <w:jc w:val="center"/>
            </w:pPr>
            <w:r w:rsidRPr="00CD03BD">
              <w:rPr>
                <w:sz w:val="20"/>
              </w:rPr>
              <w:t xml:space="preserve">P: </w:t>
            </w:r>
            <w:r>
              <w:t>-</w:t>
            </w:r>
          </w:p>
        </w:tc>
      </w:tr>
      <w:tr w:rsidR="004823AB" w:rsidRPr="00CD03BD"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823AB" w:rsidRDefault="004823AB" w:rsidP="00CE48AB">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rsidR="004823AB" w:rsidRDefault="004823AB" w:rsidP="00CE48AB">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23AB" w:rsidRPr="00CD03BD" w:rsidRDefault="004823AB" w:rsidP="00CE48AB">
            <w:pPr>
              <w:spacing w:after="0"/>
              <w:jc w:val="center"/>
              <w:rPr>
                <w:sz w:val="20"/>
              </w:rPr>
            </w:pPr>
            <w:r>
              <w:rPr>
                <w:sz w:val="20"/>
              </w:rPr>
              <w:t>P: -</w:t>
            </w:r>
          </w:p>
        </w:tc>
      </w:tr>
      <w:tr w:rsidR="004823AB" w:rsidRPr="00CD03BD" w:rsidTr="00CE48AB">
        <w:trPr>
          <w:trHeight w:val="434"/>
        </w:trPr>
        <w:tc>
          <w:tcPr>
            <w:tcW w:w="3027" w:type="dxa"/>
            <w:gridSpan w:val="3"/>
            <w:shd w:val="clear" w:color="auto" w:fill="auto"/>
            <w:vAlign w:val="center"/>
          </w:tcPr>
          <w:p w:rsidR="004823AB" w:rsidRPr="00CD03BD" w:rsidRDefault="004823AB" w:rsidP="00CE48AB">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4823AB" w:rsidRPr="00CD03BD" w:rsidRDefault="004823AB" w:rsidP="00CE48AB">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4823AB" w:rsidRPr="00CD03BD" w:rsidRDefault="004823AB" w:rsidP="00CE48AB">
            <w:pPr>
              <w:pStyle w:val="Beschriftung"/>
              <w:spacing w:after="0"/>
              <w:jc w:val="center"/>
              <w:rPr>
                <w:sz w:val="20"/>
              </w:rPr>
            </w:pPr>
            <w:r w:rsidRPr="00CD03BD">
              <w:rPr>
                <w:sz w:val="20"/>
              </w:rPr>
              <w:t xml:space="preserve">P: </w:t>
            </w:r>
            <w:r>
              <w:t>-</w:t>
            </w:r>
          </w:p>
        </w:tc>
      </w:tr>
      <w:tr w:rsidR="004823AB" w:rsidRPr="00CD03BD" w:rsidTr="00CE48AB">
        <w:tc>
          <w:tcPr>
            <w:tcW w:w="1009" w:type="dxa"/>
            <w:tcBorders>
              <w:top w:val="single" w:sz="8" w:space="0" w:color="4F81BD"/>
              <w:left w:val="single" w:sz="8" w:space="0" w:color="4F81BD"/>
              <w:bottom w:val="single" w:sz="8" w:space="0" w:color="4F81BD"/>
            </w:tcBorders>
            <w:shd w:val="clear" w:color="auto" w:fill="auto"/>
            <w:vAlign w:val="center"/>
          </w:tcPr>
          <w:p w:rsidR="004823AB" w:rsidRPr="00CD03BD" w:rsidRDefault="004823AB" w:rsidP="00CE48AB">
            <w:pPr>
              <w:spacing w:after="0"/>
              <w:jc w:val="center"/>
              <w:rPr>
                <w:b/>
                <w:bCs/>
              </w:rPr>
            </w:pPr>
            <w:r>
              <w:rPr>
                <w:b/>
                <w:noProof/>
                <w:lang w:eastAsia="de-DE"/>
              </w:rPr>
              <w:drawing>
                <wp:inline distT="0" distB="0" distL="0" distR="0">
                  <wp:extent cx="500380" cy="500380"/>
                  <wp:effectExtent l="19050" t="0" r="0" b="0"/>
                  <wp:docPr id="2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0380" cy="500380"/>
                  <wp:effectExtent l="19050" t="0" r="0" b="0"/>
                  <wp:docPr id="2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9"/>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0380" cy="500380"/>
                  <wp:effectExtent l="19050" t="0" r="0" b="0"/>
                  <wp:docPr id="2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0380" cy="500380"/>
                  <wp:effectExtent l="19050" t="0" r="0" b="0"/>
                  <wp:docPr id="2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1"/>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0380" cy="500380"/>
                  <wp:effectExtent l="19050" t="0" r="0" b="0"/>
                  <wp:docPr id="3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2"/>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0380" cy="500380"/>
                  <wp:effectExtent l="1905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0380" cy="500380"/>
                  <wp:effectExtent l="19050" t="0" r="0" b="0"/>
                  <wp:docPr id="1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9270" cy="509270"/>
                  <wp:effectExtent l="19050" t="0" r="5080" b="0"/>
                  <wp:docPr id="1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823AB" w:rsidRPr="00CD03BD" w:rsidRDefault="004823AB" w:rsidP="00CE48AB">
            <w:pPr>
              <w:spacing w:after="0"/>
              <w:jc w:val="center"/>
            </w:pPr>
            <w:r>
              <w:rPr>
                <w:noProof/>
                <w:lang w:eastAsia="de-DE"/>
              </w:rPr>
              <w:drawing>
                <wp:inline distT="0" distB="0" distL="0" distR="0">
                  <wp:extent cx="500380" cy="500380"/>
                  <wp:effectExtent l="19050" t="0" r="0" b="0"/>
                  <wp:docPr id="1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4823AB" w:rsidRDefault="004823AB" w:rsidP="004823AB">
      <w:pPr>
        <w:tabs>
          <w:tab w:val="left" w:pos="1701"/>
          <w:tab w:val="left" w:pos="1985"/>
        </w:tabs>
        <w:ind w:left="1980" w:hanging="1980"/>
      </w:pPr>
    </w:p>
    <w:p w:rsidR="004823AB" w:rsidRDefault="004823AB" w:rsidP="004823AB">
      <w:pPr>
        <w:tabs>
          <w:tab w:val="left" w:pos="1701"/>
          <w:tab w:val="left" w:pos="1985"/>
        </w:tabs>
        <w:ind w:left="1980" w:hanging="1980"/>
      </w:pPr>
      <w:r>
        <w:t>Materialien:</w:t>
      </w:r>
      <w:r>
        <w:tab/>
      </w:r>
      <w:r>
        <w:tab/>
        <w:t>2 Reagenzgläser</w:t>
      </w:r>
    </w:p>
    <w:p w:rsidR="004823AB" w:rsidRDefault="004823AB" w:rsidP="004823AB">
      <w:pPr>
        <w:tabs>
          <w:tab w:val="left" w:pos="1701"/>
          <w:tab w:val="left" w:pos="1985"/>
        </w:tabs>
        <w:ind w:left="1980" w:hanging="1980"/>
      </w:pPr>
      <w:r>
        <w:t>Chemikalien:</w:t>
      </w:r>
      <w:r>
        <w:tab/>
      </w:r>
      <w:r>
        <w:tab/>
        <w:t xml:space="preserve">Spülmittel, destilliertes Wasser, Speiseöl </w:t>
      </w:r>
    </w:p>
    <w:p w:rsidR="004823AB" w:rsidRDefault="004823AB" w:rsidP="004823AB">
      <w:pPr>
        <w:tabs>
          <w:tab w:val="left" w:pos="1701"/>
          <w:tab w:val="left" w:pos="1985"/>
        </w:tabs>
        <w:ind w:left="1980" w:hanging="1980"/>
      </w:pPr>
      <w:r>
        <w:t xml:space="preserve">Durchführung: </w:t>
      </w:r>
      <w:r>
        <w:tab/>
      </w:r>
      <w:r>
        <w:tab/>
        <w:t>Die Reagenzgläser werden jeweils mit gleichen Mengen Wasser und Öl gefüllt. Danach wird in eines der Gläser etwas Spülmittel gegeben. Beide Gläser werden anschließend kräftig geschüttelt.</w:t>
      </w:r>
    </w:p>
    <w:p w:rsidR="004823AB" w:rsidRDefault="004823AB" w:rsidP="004823AB">
      <w:pPr>
        <w:tabs>
          <w:tab w:val="left" w:pos="1701"/>
          <w:tab w:val="left" w:pos="1985"/>
        </w:tabs>
        <w:ind w:left="1980" w:hanging="1980"/>
      </w:pPr>
      <w:r>
        <w:t>Beobachtung:</w:t>
      </w:r>
      <w:r>
        <w:tab/>
      </w:r>
      <w:r>
        <w:tab/>
      </w:r>
      <w:r>
        <w:tab/>
        <w:t>Wasser und Öl bilden getrennte Phasen, wobei das Öl in der oberen, gelben Phase vorliegt und das Wasser in der unteren klaren Phase (siehe Abb. 5 links (1)). Bei Zugabe des Spülmittels bildet dies zunächst eine dritte Phase unter der Wasserphase (links (2)). Durch das Schütteln werden die Phasen miteinander vermischt. In dem Reagenzglas ohne Spülmittel bilden sich große Öltropfen in der Wasserphase, nach einiger Zeit trennen sich die Phasen wieder vollständig (rechts (1)). Liegt jedoch Spülmittel vor, so bi</w:t>
      </w:r>
      <w:r>
        <w:t>l</w:t>
      </w:r>
      <w:r>
        <w:t xml:space="preserve">den sich kleinere feiner verteilte </w:t>
      </w:r>
      <w:proofErr w:type="spellStart"/>
      <w:r>
        <w:t>Öltröpfchen</w:t>
      </w:r>
      <w:proofErr w:type="spellEnd"/>
      <w:r>
        <w:t xml:space="preserve"> in der Wasserphase, die auch </w:t>
      </w:r>
      <w:r>
        <w:lastRenderedPageBreak/>
        <w:t>nach längerer Zeit erhalten bleiben. Darüber hinaus ist eine deutliche Schaumbildung zu beobachten (rechts (2)).</w:t>
      </w:r>
    </w:p>
    <w:p w:rsidR="004823AB" w:rsidRDefault="004823AB" w:rsidP="004823AB">
      <w:pPr>
        <w:tabs>
          <w:tab w:val="left" w:pos="1701"/>
          <w:tab w:val="left" w:pos="1985"/>
        </w:tabs>
        <w:ind w:left="1980" w:hanging="1980"/>
        <w:jc w:val="center"/>
        <w:rPr>
          <w:sz w:val="20"/>
          <w:szCs w:val="20"/>
        </w:rPr>
      </w:pPr>
      <w:r>
        <w:rPr>
          <w:noProof/>
          <w:sz w:val="20"/>
          <w:szCs w:val="20"/>
          <w:lang w:eastAsia="de-DE"/>
        </w:rPr>
        <w:pict>
          <v:shape id="_x0000_s1046" type="#_x0000_t202" style="position:absolute;left:0;text-align:left;margin-left:73.25pt;margin-top:-.2pt;width:36.7pt;height:23.1pt;z-index:251664384" filled="f" stroked="f">
            <v:textbox style="mso-next-textbox:#_x0000_s1046">
              <w:txbxContent>
                <w:p w:rsidR="004823AB" w:rsidRDefault="004823AB" w:rsidP="004823AB">
                  <w:r>
                    <w:t>(1)</w:t>
                  </w:r>
                </w:p>
              </w:txbxContent>
            </v:textbox>
          </v:shape>
        </w:pict>
      </w:r>
      <w:r>
        <w:rPr>
          <w:noProof/>
          <w:sz w:val="20"/>
          <w:szCs w:val="20"/>
          <w:lang w:eastAsia="de-DE"/>
        </w:rPr>
        <w:pict>
          <v:shape id="_x0000_s1043" type="#_x0000_t202" style="position:absolute;left:0;text-align:left;margin-left:342.95pt;margin-top:0;width:36.7pt;height:23.1pt;z-index:251661312" filled="f" stroked="f">
            <v:textbox style="mso-next-textbox:#_x0000_s1043">
              <w:txbxContent>
                <w:p w:rsidR="004823AB" w:rsidRDefault="004823AB" w:rsidP="004823AB">
                  <w:r>
                    <w:t>(2)</w:t>
                  </w:r>
                </w:p>
              </w:txbxContent>
            </v:textbox>
          </v:shape>
        </w:pict>
      </w:r>
      <w:r>
        <w:rPr>
          <w:noProof/>
          <w:sz w:val="20"/>
          <w:szCs w:val="20"/>
          <w:lang w:eastAsia="de-DE"/>
        </w:rPr>
        <w:pict>
          <v:shape id="_x0000_s1045" type="#_x0000_t202" style="position:absolute;left:0;text-align:left;margin-left:164.35pt;margin-top:0;width:36.7pt;height:23.1pt;z-index:251663360" filled="f" stroked="f">
            <v:textbox style="mso-next-textbox:#_x0000_s1045">
              <w:txbxContent>
                <w:p w:rsidR="004823AB" w:rsidRDefault="004823AB" w:rsidP="004823AB">
                  <w:r>
                    <w:t>(2)</w:t>
                  </w:r>
                </w:p>
                <w:p w:rsidR="004823AB" w:rsidRDefault="004823AB" w:rsidP="004823AB">
                  <w:r>
                    <w:t>)</w:t>
                  </w:r>
                </w:p>
              </w:txbxContent>
            </v:textbox>
          </v:shape>
        </w:pict>
      </w:r>
      <w:r>
        <w:rPr>
          <w:noProof/>
          <w:sz w:val="20"/>
          <w:szCs w:val="20"/>
          <w:lang w:eastAsia="de-DE"/>
        </w:rPr>
        <w:pict>
          <v:shape id="_x0000_s1044" type="#_x0000_t202" style="position:absolute;left:0;text-align:left;margin-left:247.1pt;margin-top:0;width:36.7pt;height:23.1pt;z-index:251662336" filled="f" stroked="f">
            <v:textbox style="mso-next-textbox:#_x0000_s1044">
              <w:txbxContent>
                <w:p w:rsidR="004823AB" w:rsidRDefault="004823AB" w:rsidP="004823AB">
                  <w:r>
                    <w:t>(1)</w:t>
                  </w:r>
                </w:p>
              </w:txbxContent>
            </v:textbox>
          </v:shape>
        </w:pict>
      </w:r>
      <w:r>
        <w:rPr>
          <w:noProof/>
          <w:sz w:val="20"/>
          <w:szCs w:val="20"/>
          <w:lang w:eastAsia="de-DE"/>
        </w:rPr>
        <w:drawing>
          <wp:inline distT="0" distB="0" distL="0" distR="0">
            <wp:extent cx="2120301" cy="2452704"/>
            <wp:effectExtent l="19050" t="0" r="0" b="0"/>
            <wp:docPr id="134" name="Bild 15" descr="F:\DCIM\100CANON\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CANON\IMG_1193.JPG"/>
                    <pic:cNvPicPr>
                      <a:picLocks noChangeAspect="1" noChangeArrowheads="1"/>
                    </pic:cNvPicPr>
                  </pic:nvPicPr>
                  <pic:blipFill>
                    <a:blip r:embed="rId17">
                      <a:lum bright="30000"/>
                    </a:blip>
                    <a:srcRect l="30241" r="28302" b="36128"/>
                    <a:stretch>
                      <a:fillRect/>
                    </a:stretch>
                  </pic:blipFill>
                  <pic:spPr bwMode="auto">
                    <a:xfrm>
                      <a:off x="0" y="0"/>
                      <a:ext cx="2120301" cy="2452704"/>
                    </a:xfrm>
                    <a:prstGeom prst="rect">
                      <a:avLst/>
                    </a:prstGeom>
                    <a:noFill/>
                    <a:ln w="9525">
                      <a:noFill/>
                      <a:miter lim="800000"/>
                      <a:headEnd/>
                      <a:tailEnd/>
                    </a:ln>
                  </pic:spPr>
                </pic:pic>
              </a:graphicData>
            </a:graphic>
          </wp:inline>
        </w:drawing>
      </w:r>
      <w:r>
        <w:rPr>
          <w:noProof/>
          <w:sz w:val="20"/>
          <w:szCs w:val="20"/>
          <w:lang w:eastAsia="de-DE"/>
        </w:rPr>
        <w:drawing>
          <wp:inline distT="0" distB="0" distL="0" distR="0">
            <wp:extent cx="2243874" cy="2449902"/>
            <wp:effectExtent l="19050" t="0" r="4026" b="0"/>
            <wp:docPr id="133" name="Bild 14" descr="F:\DCIM\100CANON\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CANON\IMG_1202.JPG"/>
                    <pic:cNvPicPr>
                      <a:picLocks noChangeAspect="1" noChangeArrowheads="1"/>
                    </pic:cNvPicPr>
                  </pic:nvPicPr>
                  <pic:blipFill>
                    <a:blip r:embed="rId18">
                      <a:lum bright="30000"/>
                    </a:blip>
                    <a:srcRect l="31137" t="29326" r="33244" b="41461"/>
                    <a:stretch>
                      <a:fillRect/>
                    </a:stretch>
                  </pic:blipFill>
                  <pic:spPr bwMode="auto">
                    <a:xfrm>
                      <a:off x="0" y="0"/>
                      <a:ext cx="2243874" cy="2449902"/>
                    </a:xfrm>
                    <a:prstGeom prst="rect">
                      <a:avLst/>
                    </a:prstGeom>
                    <a:noFill/>
                    <a:ln w="9525">
                      <a:noFill/>
                      <a:miter lim="800000"/>
                      <a:headEnd/>
                      <a:tailEnd/>
                    </a:ln>
                  </pic:spPr>
                </pic:pic>
              </a:graphicData>
            </a:graphic>
          </wp:inline>
        </w:drawing>
      </w:r>
    </w:p>
    <w:p w:rsidR="004823AB" w:rsidRDefault="004823AB" w:rsidP="004823AB">
      <w:pPr>
        <w:tabs>
          <w:tab w:val="left" w:pos="851"/>
          <w:tab w:val="left" w:pos="1701"/>
        </w:tabs>
        <w:rPr>
          <w:noProof/>
          <w:sz w:val="20"/>
          <w:szCs w:val="20"/>
        </w:rPr>
      </w:pPr>
      <w:r w:rsidRPr="00C803F2">
        <w:rPr>
          <w:sz w:val="20"/>
          <w:szCs w:val="20"/>
        </w:rPr>
        <w:t xml:space="preserve">Abb. </w:t>
      </w:r>
      <w:r>
        <w:rPr>
          <w:sz w:val="20"/>
          <w:szCs w:val="20"/>
        </w:rPr>
        <w:t>5</w:t>
      </w:r>
      <w:r w:rsidRPr="00C803F2">
        <w:rPr>
          <w:sz w:val="20"/>
          <w:szCs w:val="20"/>
        </w:rPr>
        <w:t xml:space="preserve"> - </w:t>
      </w:r>
      <w:r w:rsidRPr="00C803F2">
        <w:rPr>
          <w:noProof/>
          <w:sz w:val="20"/>
          <w:szCs w:val="20"/>
        </w:rPr>
        <w:t xml:space="preserve"> </w:t>
      </w:r>
      <w:r>
        <w:rPr>
          <w:noProof/>
          <w:sz w:val="20"/>
          <w:szCs w:val="20"/>
        </w:rPr>
        <w:t>Wasser und Öl ohne (1) und mit (2) Spülmittel vor (links) und nach (rechts) dem Schütteln.</w:t>
      </w:r>
    </w:p>
    <w:p w:rsidR="004823AB" w:rsidRDefault="004823AB" w:rsidP="004823AB">
      <w:pPr>
        <w:tabs>
          <w:tab w:val="left" w:pos="1701"/>
          <w:tab w:val="left" w:pos="1985"/>
        </w:tabs>
        <w:ind w:left="1980" w:hanging="1980"/>
      </w:pPr>
      <w:r>
        <w:t>Deutung:</w:t>
      </w:r>
      <w:r>
        <w:tab/>
      </w:r>
      <w:r>
        <w:tab/>
        <w:t xml:space="preserve">Wasser und Öl sind Stoffe mit unterschiedlichen Eigenschaften, sie sind nicht ineinander löslich, sondern bilden getrennte Schichten. Die </w:t>
      </w:r>
      <w:proofErr w:type="spellStart"/>
      <w:r>
        <w:t>Ölphase</w:t>
      </w:r>
      <w:proofErr w:type="spellEnd"/>
      <w:r>
        <w:t xml:space="preserve"> schwimmt aufgrund der geringeren Dichte des Öls über der Wasserphase. Wird Spülmittel als Tensid zugesetzt, so bildet sich ein Gemisch der beiden Flüssigkeiten -  eine Emulsion. Tenside haben eine wasserliebende und e</w:t>
      </w:r>
      <w:r>
        <w:t>i</w:t>
      </w:r>
      <w:r>
        <w:t xml:space="preserve">ne Fettliebende Seite. So können sich beim Schütteln der Lösungen fein verteilte </w:t>
      </w:r>
      <w:proofErr w:type="spellStart"/>
      <w:r>
        <w:t>Tröpfchen</w:t>
      </w:r>
      <w:proofErr w:type="spellEnd"/>
      <w:r>
        <w:t xml:space="preserve"> des Öls bilden, die von einer Hülle aus Tensiden u</w:t>
      </w:r>
      <w:r>
        <w:t>m</w:t>
      </w:r>
      <w:r>
        <w:t xml:space="preserve">schlossen sind. Anders als bei den Lösungen ohne Tensid, bleiben die </w:t>
      </w:r>
      <w:proofErr w:type="spellStart"/>
      <w:r>
        <w:t>Öltröpfchen</w:t>
      </w:r>
      <w:proofErr w:type="spellEnd"/>
      <w:r>
        <w:t xml:space="preserve"> in der Wasserphase erhalten, da sie Flüssigkeiten eine geri</w:t>
      </w:r>
      <w:r>
        <w:t>n</w:t>
      </w:r>
      <w:r>
        <w:t>gere Bestr</w:t>
      </w:r>
      <w:r>
        <w:t>e</w:t>
      </w:r>
      <w:r>
        <w:t>bung zur Entmischung haben.</w:t>
      </w:r>
    </w:p>
    <w:p w:rsidR="004823AB" w:rsidRDefault="004823AB" w:rsidP="004823AB">
      <w:pPr>
        <w:spacing w:after="0" w:line="276" w:lineRule="auto"/>
        <w:jc w:val="left"/>
        <w:rPr>
          <w:rStyle w:val="Hyperlink"/>
        </w:rPr>
      </w:pPr>
      <w:r>
        <w:t>Literatur:</w:t>
      </w:r>
      <w:r>
        <w:tab/>
      </w:r>
      <w:r>
        <w:tab/>
        <w:t xml:space="preserve">Arbeitsgemeinschaften Chemie BASF, </w:t>
      </w:r>
      <w:r w:rsidRPr="00670BC0">
        <w:t>http://www.basf.com/group/</w:t>
      </w:r>
    </w:p>
    <w:p w:rsidR="004823AB" w:rsidRDefault="004823AB" w:rsidP="004823AB">
      <w:pPr>
        <w:spacing w:after="0" w:line="276" w:lineRule="auto"/>
        <w:ind w:left="1416" w:firstLine="708"/>
        <w:jc w:val="left"/>
        <w:rPr>
          <w:lang w:val="en-US"/>
        </w:rPr>
      </w:pPr>
      <w:proofErr w:type="gramStart"/>
      <w:r w:rsidRPr="00670BC0">
        <w:rPr>
          <w:lang w:val="en-US"/>
        </w:rPr>
        <w:t>corporate/</w:t>
      </w:r>
      <w:proofErr w:type="spellStart"/>
      <w:r w:rsidRPr="00670BC0">
        <w:rPr>
          <w:lang w:val="en-US"/>
        </w:rPr>
        <w:t>siteludwigshafen</w:t>
      </w:r>
      <w:proofErr w:type="spellEnd"/>
      <w:r w:rsidRPr="00670BC0">
        <w:rPr>
          <w:lang w:val="en-US"/>
        </w:rPr>
        <w:t>/</w:t>
      </w:r>
      <w:proofErr w:type="spellStart"/>
      <w:r w:rsidRPr="00670BC0">
        <w:rPr>
          <w:lang w:val="en-US"/>
        </w:rPr>
        <w:t>de_DE</w:t>
      </w:r>
      <w:proofErr w:type="spellEnd"/>
      <w:r w:rsidRPr="0017592F">
        <w:rPr>
          <w:lang w:val="en-US"/>
        </w:rPr>
        <w:t>/function/conversions</w:t>
      </w:r>
      <w:proofErr w:type="gramEnd"/>
      <w:r w:rsidRPr="0017592F">
        <w:rPr>
          <w:lang w:val="en-US"/>
        </w:rPr>
        <w:t>:</w:t>
      </w:r>
      <w:r w:rsidRPr="00572192">
        <w:rPr>
          <w:lang w:val="en-US"/>
        </w:rPr>
        <w:t>/</w:t>
      </w:r>
    </w:p>
    <w:p w:rsidR="004823AB" w:rsidRPr="00670BC0" w:rsidRDefault="004823AB" w:rsidP="004823AB">
      <w:pPr>
        <w:spacing w:after="0" w:line="276" w:lineRule="auto"/>
        <w:ind w:left="1416" w:firstLine="708"/>
        <w:jc w:val="left"/>
        <w:rPr>
          <w:lang w:val="en-US"/>
        </w:rPr>
      </w:pPr>
      <w:proofErr w:type="gramStart"/>
      <w:r w:rsidRPr="00572192">
        <w:rPr>
          <w:lang w:val="en-US"/>
        </w:rPr>
        <w:t>publish/content/about-</w:t>
      </w:r>
      <w:proofErr w:type="spellStart"/>
      <w:r w:rsidRPr="00572192">
        <w:rPr>
          <w:lang w:val="en-US"/>
        </w:rPr>
        <w:t>basf</w:t>
      </w:r>
      <w:proofErr w:type="spellEnd"/>
      <w:r w:rsidRPr="00572192">
        <w:rPr>
          <w:lang w:val="en-US"/>
        </w:rPr>
        <w:t>/worldwide/</w:t>
      </w:r>
      <w:r>
        <w:rPr>
          <w:lang w:val="en-US"/>
        </w:rPr>
        <w:t>Europe</w:t>
      </w:r>
      <w:r w:rsidRPr="00670BC0">
        <w:rPr>
          <w:lang w:val="en-US"/>
        </w:rPr>
        <w:t>/Ludwigshafen</w:t>
      </w:r>
      <w:proofErr w:type="gramEnd"/>
    </w:p>
    <w:p w:rsidR="004823AB" w:rsidRDefault="004823AB" w:rsidP="004823AB">
      <w:pPr>
        <w:spacing w:after="0" w:line="276" w:lineRule="auto"/>
        <w:ind w:left="1416" w:firstLine="708"/>
        <w:jc w:val="left"/>
      </w:pPr>
      <w:r w:rsidRPr="0017592F">
        <w:t>/Education/</w:t>
      </w:r>
      <w:r w:rsidRPr="005E7E07">
        <w:t>Unterrichtsmaterialien/</w:t>
      </w:r>
      <w:proofErr w:type="spellStart"/>
      <w:r w:rsidRPr="005E7E07">
        <w:t>data</w:t>
      </w:r>
      <w:proofErr w:type="spellEnd"/>
      <w:r w:rsidRPr="005E7E07">
        <w:t>/</w:t>
      </w:r>
      <w:proofErr w:type="spellStart"/>
      <w:r w:rsidRPr="005E7E07">
        <w:t>mittelstufe</w:t>
      </w:r>
      <w:proofErr w:type="spellEnd"/>
      <w:r w:rsidRPr="005E7E07">
        <w:t>/Kosmetik.pdf</w:t>
      </w:r>
      <w:r>
        <w:t xml:space="preserve">, </w:t>
      </w:r>
    </w:p>
    <w:p w:rsidR="004823AB" w:rsidRPr="002C7902" w:rsidRDefault="004823AB" w:rsidP="004823AB">
      <w:pPr>
        <w:spacing w:after="0" w:line="276" w:lineRule="auto"/>
        <w:ind w:left="1416" w:firstLine="708"/>
        <w:jc w:val="left"/>
      </w:pPr>
      <w:r>
        <w:t>(Zuletzt abgerufen am 24.07.2013 um 11:30 Uhr)</w:t>
      </w:r>
    </w:p>
    <w:p w:rsidR="004823AB" w:rsidRPr="00CD03BD" w:rsidRDefault="004823AB" w:rsidP="004823AB">
      <w:pPr>
        <w:tabs>
          <w:tab w:val="left" w:pos="1701"/>
          <w:tab w:val="left" w:pos="1985"/>
        </w:tabs>
        <w:spacing w:after="0"/>
        <w:ind w:left="1980" w:hanging="1980"/>
        <w:rPr>
          <w:color w:val="1F497D"/>
        </w:rPr>
      </w:pPr>
    </w:p>
    <w:p w:rsidR="00BE6DD9" w:rsidRPr="004823AB" w:rsidRDefault="004823AB" w:rsidP="004823AB">
      <w:pPr>
        <w:tabs>
          <w:tab w:val="left" w:pos="1701"/>
          <w:tab w:val="left" w:pos="1985"/>
        </w:tabs>
        <w:ind w:left="1980" w:hanging="1980"/>
        <w:rPr>
          <w:color w:val="1F497D"/>
        </w:rPr>
      </w:pPr>
      <w:r w:rsidRPr="00C90F3D">
        <w:pict>
          <v:shape id="_x0000_s1041" type="#_x0000_t202" style="width:462.45pt;height:9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041">
              <w:txbxContent>
                <w:p w:rsidR="004823AB" w:rsidRPr="00510778" w:rsidRDefault="004823AB" w:rsidP="004823AB">
                  <w:pPr>
                    <w:rPr>
                      <w:color w:val="auto"/>
                    </w:rPr>
                  </w:pPr>
                  <w:r w:rsidRPr="00510778">
                    <w:rPr>
                      <w:b/>
                      <w:color w:val="auto"/>
                    </w:rPr>
                    <w:t xml:space="preserve">Unterrichtsanschlüsse </w:t>
                  </w:r>
                  <w:r w:rsidRPr="00510778">
                    <w:rPr>
                      <w:color w:val="auto"/>
                    </w:rPr>
                    <w:t>Als Beispiel für die Bildung einer Emulsion kann der Versuch im Ra</w:t>
                  </w:r>
                  <w:r w:rsidRPr="00510778">
                    <w:rPr>
                      <w:color w:val="auto"/>
                    </w:rPr>
                    <w:t>h</w:t>
                  </w:r>
                  <w:r w:rsidRPr="00510778">
                    <w:rPr>
                      <w:color w:val="auto"/>
                    </w:rPr>
                    <w:t>men des Themas Stoffgemische und Stofftrennung behandelt werden. Er ist gut als Vorversuch oder Modellversuch für die Herstellung von Cremes (V 4) geeignet, da er den wesentlichen Schritt deutlich herausstellt. Die Chemikalien sind unbedenklich und können von Schülern g</w:t>
                  </w:r>
                  <w:r w:rsidRPr="00510778">
                    <w:rPr>
                      <w:color w:val="auto"/>
                    </w:rPr>
                    <w:t>e</w:t>
                  </w:r>
                  <w:r w:rsidRPr="00510778">
                    <w:rPr>
                      <w:color w:val="auto"/>
                    </w:rPr>
                    <w:t>nutzt werden.</w:t>
                  </w:r>
                </w:p>
              </w:txbxContent>
            </v:textbox>
            <w10:wrap type="none"/>
            <w10:anchorlock/>
          </v:shape>
        </w:pict>
      </w:r>
    </w:p>
    <w:sectPr w:rsidR="00BE6DD9" w:rsidRPr="004823AB"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29A" w:rsidRDefault="00EE229A" w:rsidP="009524CC">
      <w:pPr>
        <w:spacing w:after="0"/>
      </w:pPr>
      <w:r>
        <w:separator/>
      </w:r>
    </w:p>
  </w:endnote>
  <w:endnote w:type="continuationSeparator" w:id="0">
    <w:p w:rsidR="00EE229A" w:rsidRDefault="00EE229A"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29A" w:rsidRDefault="00EE229A" w:rsidP="009524CC">
      <w:pPr>
        <w:spacing w:after="0"/>
      </w:pPr>
      <w:r>
        <w:separator/>
      </w:r>
    </w:p>
  </w:footnote>
  <w:footnote w:type="continuationSeparator" w:id="0">
    <w:p w:rsidR="00EE229A" w:rsidRDefault="00EE229A"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471C55" w:rsidP="00BD7F16">
          <w:pPr>
            <w:pStyle w:val="Kopfzeile"/>
            <w:tabs>
              <w:tab w:val="clear" w:pos="4680"/>
              <w:tab w:val="left" w:pos="0"/>
              <w:tab w:val="center" w:pos="284"/>
              <w:tab w:val="left" w:pos="8789"/>
            </w:tabs>
            <w:rPr>
              <w:sz w:val="20"/>
              <w:szCs w:val="20"/>
            </w:rPr>
          </w:pPr>
          <w:fldSimple w:instr=" STYLEREF  &quot;Überschrift 1&quot;  \* MERGEFORMAT ">
            <w:r w:rsidR="004823AB" w:rsidRPr="004823AB">
              <w:rPr>
                <w:b/>
                <w:bCs/>
                <w:noProof/>
                <w:sz w:val="20"/>
                <w:szCs w:val="20"/>
              </w:rPr>
              <w:t>V</w:t>
            </w:r>
            <w:r w:rsidR="004823AB">
              <w:rPr>
                <w:noProof/>
                <w:sz w:val="20"/>
                <w:szCs w:val="20"/>
              </w:rPr>
              <w:t xml:space="preserve"> 5 – Wasser und Öl</w:t>
            </w:r>
          </w:fldSimple>
        </w:p>
      </w:tc>
      <w:tc>
        <w:tcPr>
          <w:tcW w:w="695" w:type="dxa"/>
          <w:tcBorders>
            <w:bottom w:val="single" w:sz="4" w:space="0" w:color="auto"/>
          </w:tcBorders>
          <w:shd w:val="clear" w:color="auto" w:fill="auto"/>
        </w:tcPr>
        <w:p w:rsidR="00501F12" w:rsidRPr="00BD7F16" w:rsidRDefault="00471C55"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4823AB">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0DBA"/>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1C55"/>
    <w:rsid w:val="0047232F"/>
    <w:rsid w:val="00472733"/>
    <w:rsid w:val="00472ACE"/>
    <w:rsid w:val="00473F6C"/>
    <w:rsid w:val="004749C9"/>
    <w:rsid w:val="00475124"/>
    <w:rsid w:val="00477169"/>
    <w:rsid w:val="004803FD"/>
    <w:rsid w:val="00480766"/>
    <w:rsid w:val="004808DE"/>
    <w:rsid w:val="004823AB"/>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1CA"/>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1F1"/>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628A"/>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29A"/>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customStyle="1"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BDC58-DCAA-4FFB-97BD-1A874364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1965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2013-08-11T19:57:00Z</dcterms:created>
  <dcterms:modified xsi:type="dcterms:W3CDTF">2013-08-11T19:57:00Z</dcterms:modified>
</cp:coreProperties>
</file>