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06" w:rsidRDefault="00311643" w:rsidP="001B1A06">
      <w:pPr>
        <w:pStyle w:val="berschrift1"/>
        <w:numPr>
          <w:ilvl w:val="0"/>
          <w:numId w:val="0"/>
        </w:numPr>
        <w:ind w:left="431" w:hanging="431"/>
      </w:pPr>
      <w:bookmarkStart w:id="0" w:name="_Toc337149076"/>
      <w:r>
        <w:rPr>
          <w:rFonts w:ascii="Times New Roman" w:hAnsi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639445</wp:posOffset>
                </wp:positionV>
                <wp:extent cx="5873115" cy="1324610"/>
                <wp:effectExtent l="0" t="0" r="13335" b="27940"/>
                <wp:wrapSquare wrapText="bothSides"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3246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1643" w:rsidRDefault="00311643" w:rsidP="00311643">
                            <w:pPr>
                              <w:rPr>
                                <w:color w:val="1F497D"/>
                              </w:rPr>
                            </w:pPr>
                            <w:r>
                              <w:t>In diesem Versuch wird ähnlich wie in V1 ein Gemisch in zwei Schritten getrennt, sodass reines Wasser erhalten wird. Statt Mehl und Salz werden in diesem Versuch Kupfersulfat und Schw</w:t>
                            </w:r>
                            <w:r>
                              <w:t>e</w:t>
                            </w:r>
                            <w:r>
                              <w:t>felpulver von Wasser getrennt. Für diesen Versuch müssen die SuS Kenntnisse über die Sied</w:t>
                            </w:r>
                            <w:r>
                              <w:t>e</w:t>
                            </w:r>
                            <w:r>
                              <w:t>temperatur von Wasser besitzen sowie die Begriffe Gemisch, Element und Lösung kennen. Außerdem sollten ihnen die Aggregatzustände vertraut sein.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7.8pt;margin-top:50.35pt;width:462.45pt;height:10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" strokecolor="#4bacc6" strokeweight="1pt">
                <v:stroke dashstyle="dash"/>
                <v:shadow color="#868686"/>
                <v:textbox>
                  <w:txbxContent>
                    <w:p w:rsidR="00311643" w:rsidRDefault="00311643" w:rsidP="00311643">
                      <w:pPr>
                        <w:rPr>
                          <w:color w:val="1F497D"/>
                        </w:rPr>
                      </w:pPr>
                      <w:r>
                        <w:t>In diesem Versuch wird ähnlich wie in V1 ein Gemisch in zwei Schritten getrennt, sodass reines Wasser erhalten wird. Statt Mehl und Salz werden in diesem Versuch Kupfersulfat und Schw</w:t>
                      </w:r>
                      <w:r>
                        <w:t>e</w:t>
                      </w:r>
                      <w:r>
                        <w:t>felpulver von Wasser getrennt. Für diesen Versuch müssen die SuS Kenntnisse über die Sied</w:t>
                      </w:r>
                      <w:r>
                        <w:t>e</w:t>
                      </w:r>
                      <w:r>
                        <w:t>temperatur von Wasser besitzen sowie die Begriffe Gemisch, Element und Lösung kennen. Außerdem sollten ihnen die Aggregatzustände vertraut sein.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V2</w:t>
      </w:r>
      <w:bookmarkStart w:id="1" w:name="_GoBack"/>
      <w:bookmarkEnd w:id="1"/>
      <w:r w:rsidR="001B1A06">
        <w:t xml:space="preserve">  – </w:t>
      </w:r>
      <w:bookmarkEnd w:id="0"/>
      <w:r>
        <w:t>Das Element und die Verbindung</w:t>
      </w:r>
    </w:p>
    <w:p w:rsidR="003D66DB" w:rsidRDefault="003D66DB" w:rsidP="001B1A06">
      <w:pPr>
        <w:tabs>
          <w:tab w:val="left" w:pos="1701"/>
          <w:tab w:val="left" w:pos="1985"/>
        </w:tabs>
        <w:ind w:left="1980" w:hanging="1980"/>
        <w:rPr>
          <w:b/>
        </w:rPr>
      </w:pPr>
    </w:p>
    <w:tbl>
      <w:tblPr>
        <w:tblW w:w="93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8"/>
        <w:gridCol w:w="1008"/>
        <w:gridCol w:w="1174"/>
        <w:gridCol w:w="992"/>
        <w:gridCol w:w="974"/>
        <w:gridCol w:w="1008"/>
        <w:gridCol w:w="1133"/>
      </w:tblGrid>
      <w:tr w:rsidR="00311643" w:rsidTr="00311643"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311643" w:rsidRDefault="003116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Gefahrenstoffe</w:t>
            </w:r>
          </w:p>
        </w:tc>
      </w:tr>
      <w:tr w:rsidR="00311643" w:rsidTr="0031164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Kupfersulfat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302-319-315-410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273-305+351+338-302+352</w:t>
            </w:r>
          </w:p>
        </w:tc>
      </w:tr>
      <w:tr w:rsidR="00311643" w:rsidTr="00311643">
        <w:trPr>
          <w:trHeight w:val="434"/>
        </w:trPr>
        <w:tc>
          <w:tcPr>
            <w:tcW w:w="3027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  <w:vAlign w:val="center"/>
            <w:hideMark/>
          </w:tcPr>
          <w:p w:rsidR="00311643" w:rsidRDefault="00311643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Schwefel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643" w:rsidRDefault="00311643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315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  <w:hideMark/>
          </w:tcPr>
          <w:p w:rsidR="00311643" w:rsidRDefault="00311643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302+352</w:t>
            </w:r>
          </w:p>
        </w:tc>
      </w:tr>
      <w:tr w:rsidR="00311643" w:rsidTr="0031164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74345" cy="474345"/>
                  <wp:effectExtent l="0" t="0" r="0" b="0"/>
                  <wp:docPr id="18" name="Grafik 18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415" cy="526415"/>
                  <wp:effectExtent l="0" t="0" r="0" b="0"/>
                  <wp:docPr id="2" name="Grafik 2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311643" w:rsidRDefault="0031164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43560" cy="543560"/>
                  <wp:effectExtent l="0" t="0" r="0" b="0"/>
                  <wp:docPr id="1" name="Grafik 1" descr="Umwelt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mwelt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DD9" w:rsidRDefault="00BE6DD9" w:rsidP="001B1A06"/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Filterpapier, Trichter, Stativ, Destillationsapparatur, zwei 100 mL Run</w:t>
      </w:r>
      <w:r>
        <w:t>d</w:t>
      </w:r>
      <w:r>
        <w:t>kolben, zwei 100 mL Bechergläser, Ölbad, Heizplatte, Rührfisch.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Kupfersulfat, Schwefelpulver, Wasser.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t xml:space="preserve">Durchführung 1: </w:t>
      </w:r>
      <w:r>
        <w:tab/>
      </w:r>
      <w:r>
        <w:tab/>
      </w:r>
      <w:r>
        <w:tab/>
        <w:t>Je eine halbe Spatelportion Kupfersulfat und Schwefelpulver werden ve</w:t>
      </w:r>
      <w:r>
        <w:t>r</w:t>
      </w:r>
      <w:r>
        <w:t>mengt und mit 20 mL Wasser versetzt. Anschließend wird das Gemisch durch das Filterpapier filtriert. Das Filtrat wird aufgefangen.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t>Beobachtung 1:</w:t>
      </w:r>
      <w:r>
        <w:tab/>
      </w:r>
      <w:r>
        <w:tab/>
      </w:r>
      <w:r>
        <w:tab/>
        <w:t>Der Schwefel verbleibt im Filter, während sich das Kupfersulfat im Wasser löst.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t>Deutung 1:</w:t>
      </w:r>
      <w:r>
        <w:tab/>
      </w:r>
      <w:r>
        <w:tab/>
      </w:r>
      <w:r>
        <w:tab/>
        <w:t>Schwefel ist wasserunlöslich, Kupfersulfat hingegen löst sich gut. Daher lässt sich der Schwefel abfiltrieren.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t>Durchführung 2:</w:t>
      </w:r>
      <w:r>
        <w:tab/>
      </w:r>
      <w:r>
        <w:tab/>
        <w:t>Die Destillationsapparatur wird gemäß Abb.1 aufgebaut. Das Filtrat aus dem ersten Teil des Experiments wird destilliert und das Destillat aufg</w:t>
      </w:r>
      <w:r>
        <w:t>e</w:t>
      </w:r>
      <w:r>
        <w:t>fangen.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t>Beobachtung 2:</w:t>
      </w:r>
      <w:r>
        <w:tab/>
      </w:r>
      <w:r>
        <w:tab/>
        <w:t>Beim Erhitzen der Lösung verdampft die Flüssigkeit, eine weiße Substanz verbleibt im Rundkolben.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lastRenderedPageBreak/>
        <w:t>Deutung 2:</w:t>
      </w:r>
      <w:r>
        <w:tab/>
      </w:r>
      <w:r>
        <w:tab/>
        <w:t>Zunächst verdampft das Wasser, wobei wasserfreies Kupfersulfat (CuSO</w:t>
      </w:r>
      <w:r>
        <w:rPr>
          <w:vertAlign w:val="subscript"/>
        </w:rPr>
        <w:t>4</w:t>
      </w:r>
      <w:r>
        <w:t>) entsteht. Dieses weist eine weiße Farbe auf.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Organischer Lösungsmittelabfall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>H. Schmidkunz, Chemische Freihandversuche, Aulis, 2011, S. 5</w:t>
      </w:r>
    </w:p>
    <w:p w:rsidR="00311643" w:rsidRDefault="00311643" w:rsidP="0031164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299845"/>
                <wp:effectExtent l="0" t="0" r="13335" b="14605"/>
                <wp:docPr id="1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99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1643" w:rsidRDefault="00311643" w:rsidP="00311643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Dieser Versuch lässt sich neben der Wasseraufbereitung auch für das Thema „chemische Rea</w:t>
                            </w:r>
                            <w:r>
                              <w:rPr>
                                <w:color w:val="auto"/>
                              </w:rPr>
                              <w:t>k</w:t>
                            </w:r>
                            <w:r>
                              <w:rPr>
                                <w:color w:val="auto"/>
                              </w:rPr>
                              <w:t>tion“ in der siebten oder achten Klasse einsetzen. Wird zum wasserfreien Kupfersulfat Wasser gegeben, so entsteht CuSO</w:t>
                            </w:r>
                            <w:r>
                              <w:rPr>
                                <w:color w:val="auto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auto"/>
                              </w:rPr>
                              <w:t>∙5H</w:t>
                            </w:r>
                            <w:r>
                              <w:rPr>
                                <w:color w:val="auto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auto"/>
                              </w:rPr>
                              <w:t xml:space="preserve">O, welches wieder die ursprünglich blaue Färbung aufweist. Somit könnte die Umkehrbarkeit chemischer Reaktionen aufgezeigt werden. In diesem Fall könnte wie in V1 auf die Destillationsapparatur verzichtet werden.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10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" strokecolor="#c0504d" strokeweight="1pt">
                <v:stroke dashstyle="dash"/>
                <v:shadow color="#868686"/>
                <v:textbox>
                  <w:txbxContent>
                    <w:p w:rsidR="00311643" w:rsidRDefault="00311643" w:rsidP="00311643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auto"/>
                        </w:rPr>
                        <w:t>Dieser Versuch lässt sich neben der Wasseraufbereitung auch für das Thema „chemische Rea</w:t>
                      </w:r>
                      <w:r>
                        <w:rPr>
                          <w:color w:val="auto"/>
                        </w:rPr>
                        <w:t>k</w:t>
                      </w:r>
                      <w:r>
                        <w:rPr>
                          <w:color w:val="auto"/>
                        </w:rPr>
                        <w:t>tion“ in der siebten oder achten Klasse einsetzen. Wird zum wasserfreien Kupfersulfat Wasser gegeben, so entsteht CuSO</w:t>
                      </w:r>
                      <w:r>
                        <w:rPr>
                          <w:color w:val="auto"/>
                          <w:vertAlign w:val="subscript"/>
                        </w:rPr>
                        <w:t>4</w:t>
                      </w:r>
                      <w:r>
                        <w:rPr>
                          <w:color w:val="auto"/>
                        </w:rPr>
                        <w:t>∙5H</w:t>
                      </w:r>
                      <w:r>
                        <w:rPr>
                          <w:color w:val="auto"/>
                          <w:vertAlign w:val="subscript"/>
                        </w:rPr>
                        <w:t>2</w:t>
                      </w:r>
                      <w:r>
                        <w:rPr>
                          <w:color w:val="auto"/>
                        </w:rPr>
                        <w:t xml:space="preserve">O, welches wieder die ursprünglich blaue Färbung aufweist. Somit könnte die Umkehrbarkeit chemischer Reaktionen aufgezeigt werden. In diesem Fall könnte wie in V1 auf die Destillationsapparatur verzichtet werden.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1643" w:rsidRPr="001B1A06" w:rsidRDefault="00311643" w:rsidP="001B1A06"/>
    <w:sectPr w:rsidR="00311643" w:rsidRPr="001B1A06" w:rsidSect="00105256">
      <w:headerReference w:type="defaul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4E" w:rsidRDefault="00EC0C4E" w:rsidP="009524CC">
      <w:pPr>
        <w:spacing w:after="0"/>
      </w:pPr>
      <w:r>
        <w:separator/>
      </w:r>
    </w:p>
  </w:endnote>
  <w:endnote w:type="continuationSeparator" w:id="0">
    <w:p w:rsidR="00EC0C4E" w:rsidRDefault="00EC0C4E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4E" w:rsidRDefault="00EC0C4E" w:rsidP="009524CC">
      <w:pPr>
        <w:spacing w:after="0"/>
      </w:pPr>
      <w:r>
        <w:separator/>
      </w:r>
    </w:p>
  </w:footnote>
  <w:footnote w:type="continuationSeparator" w:id="0">
    <w:p w:rsidR="00EC0C4E" w:rsidRDefault="00EC0C4E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EC0C4E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>
            <w:fldChar w:fldCharType="begin"/>
          </w:r>
          <w:r>
            <w:instrText xml:space="preserve"> STYLEREF  "Überschrift 1"  \* MERGEFORMAT </w:instrText>
          </w:r>
          <w:r>
            <w:fldChar w:fldCharType="separate"/>
          </w:r>
          <w:r w:rsidR="00311643" w:rsidRPr="00311643">
            <w:rPr>
              <w:b/>
              <w:bCs/>
              <w:noProof/>
              <w:sz w:val="20"/>
              <w:szCs w:val="20"/>
            </w:rPr>
            <w:t>V2  – Das</w:t>
          </w:r>
          <w:r w:rsidR="00311643">
            <w:rPr>
              <w:noProof/>
            </w:rPr>
            <w:t xml:space="preserve"> Element und die Verbindung</w:t>
          </w:r>
          <w:r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7204D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="00501F12"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311643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1643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6DB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08F4"/>
    <w:rsid w:val="00561000"/>
    <w:rsid w:val="005626FE"/>
    <w:rsid w:val="00562D49"/>
    <w:rsid w:val="0056433A"/>
    <w:rsid w:val="00566C6B"/>
    <w:rsid w:val="0056722B"/>
    <w:rsid w:val="00571FDB"/>
    <w:rsid w:val="0057204D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6DC3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0C4E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F4D7-DADD-4C74-8F1E-A612E705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Thomas Waitz</cp:lastModifiedBy>
  <cp:revision>2</cp:revision>
  <cp:lastPrinted>2012-06-21T19:47:00Z</cp:lastPrinted>
  <dcterms:created xsi:type="dcterms:W3CDTF">2013-08-14T16:42:00Z</dcterms:created>
  <dcterms:modified xsi:type="dcterms:W3CDTF">2013-08-14T16:42:00Z</dcterms:modified>
</cp:coreProperties>
</file>