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B2" w:rsidRDefault="00350DB2" w:rsidP="00350DB2">
      <w:pPr>
        <w:pStyle w:val="berschrift1"/>
        <w:numPr>
          <w:ilvl w:val="0"/>
          <w:numId w:val="0"/>
        </w:numPr>
        <w:ind w:left="431" w:hanging="431"/>
      </w:pPr>
      <w:bookmarkStart w:id="0" w:name="_Toc337149076"/>
      <w:r w:rsidRPr="005620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30" type="#_x0000_t202" style="position:absolute;left:0;text-align:left;margin-left:-.05pt;margin-top:48.05pt;width:462.45pt;height:47.75pt;z-index:251660288;visibility:visible;mso-wrap-style:square;mso-position-horizontal-relative:text;mso-position-vertical-relative:text;v-text-anchor:top" strokecolor="#4bacc6" strokeweight=".99pt">
            <v:stroke dashstyle="dash"/>
            <v:textbox style="mso-next-textbox:#Text Box 60;mso-rotate-with-shape:t">
              <w:txbxContent>
                <w:p w:rsidR="00350DB2" w:rsidRDefault="00350DB2" w:rsidP="00350D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In diesem Versuch wird gezeigt, dass unterschiedliche Stoffe in der </w:t>
                  </w:r>
                  <w:proofErr w:type="spellStart"/>
                  <w:r>
                    <w:rPr>
                      <w:color w:val="000000"/>
                    </w:rPr>
                    <w:t>Bunsenbrennenflamme</w:t>
                  </w:r>
                  <w:proofErr w:type="spellEnd"/>
                  <w:r>
                    <w:rPr>
                      <w:color w:val="000000"/>
                    </w:rPr>
                    <w:t xml:space="preserve"> verschiedene Flammenfärbungen zeigen.</w:t>
                  </w:r>
                </w:p>
              </w:txbxContent>
            </v:textbox>
            <w10:wrap type="square"/>
          </v:shape>
        </w:pict>
      </w:r>
      <w:r w:rsidR="001B1A06">
        <w:t xml:space="preserve">V1  – </w:t>
      </w:r>
      <w:bookmarkEnd w:id="0"/>
      <w:r>
        <w:t>Flammfärbung</w:t>
      </w:r>
    </w:p>
    <w:p w:rsidR="00350DB2" w:rsidRPr="00350DB2" w:rsidRDefault="00350DB2" w:rsidP="00350DB2"/>
    <w:tbl>
      <w:tblPr>
        <w:tblW w:w="93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50DB2" w:rsidTr="00FD7686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Gefahrenstoffe</w:t>
            </w:r>
          </w:p>
        </w:tc>
      </w:tr>
      <w:tr w:rsidR="00350DB2" w:rsidTr="00FD768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spacing w:after="0" w:line="276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Lithiumchlorid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spacing w:after="0"/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H: 302-315-319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302+352-​305+351+338</w:t>
            </w:r>
          </w:p>
        </w:tc>
      </w:tr>
      <w:tr w:rsidR="00350DB2" w:rsidTr="00FD76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spacing w:after="0"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Kupferchlorid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H: 302, 315, 319, 410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P: 260, 273, 302+352, 305+351+338</w:t>
            </w:r>
          </w:p>
        </w:tc>
      </w:tr>
      <w:tr w:rsidR="00350DB2" w:rsidTr="00FD76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0DB2" w:rsidTr="00FD76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Calciumchlorid</w:t>
            </w:r>
            <w:proofErr w:type="spellEnd"/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H: 319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305+351+338</w:t>
            </w:r>
          </w:p>
        </w:tc>
      </w:tr>
      <w:tr w:rsidR="00350DB2" w:rsidTr="00FD76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Borsäure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H: 360FD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201, 308+313</w:t>
            </w:r>
          </w:p>
        </w:tc>
      </w:tr>
      <w:tr w:rsidR="00350DB2" w:rsidTr="00FD76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Strontiumnitrat</w:t>
            </w:r>
            <w:proofErr w:type="spellEnd"/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H: 272, 315, 319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210, 221, 302+352, 305+351+338, 321, 501</w:t>
            </w:r>
          </w:p>
        </w:tc>
      </w:tr>
      <w:tr w:rsidR="00350DB2" w:rsidTr="00FD76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DB2" w:rsidRDefault="00350DB2" w:rsidP="00FD76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0DB2" w:rsidTr="00FD768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4" name="Grafik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5" name="Grafik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6" name="Grafik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7" name="Grafik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9120" cy="609120"/>
                  <wp:effectExtent l="19050" t="0" r="480" b="0"/>
                  <wp:docPr id="8" name="Grafik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120" cy="60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560" cy="493560"/>
                  <wp:effectExtent l="19050" t="0" r="1740" b="0"/>
                  <wp:docPr id="9" name="Grafik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60" cy="49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2040" cy="482040"/>
                  <wp:effectExtent l="19050" t="0" r="0" b="0"/>
                  <wp:docPr id="10" name="Grafik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40" cy="4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1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DB2" w:rsidRDefault="00350DB2" w:rsidP="00FD76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4350" cy="533400"/>
                  <wp:effectExtent l="0" t="0" r="0" b="0"/>
                  <wp:docPr id="12" name="Grafik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957" cy="53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DB2" w:rsidRDefault="00350DB2" w:rsidP="00350DB2">
      <w:pPr>
        <w:tabs>
          <w:tab w:val="left" w:pos="1701"/>
          <w:tab w:val="left" w:pos="1985"/>
        </w:tabs>
        <w:ind w:left="1980" w:hanging="1980"/>
        <w:rPr>
          <w:color w:val="000000"/>
        </w:rPr>
      </w:pPr>
    </w:p>
    <w:p w:rsidR="00350DB2" w:rsidRDefault="00350DB2" w:rsidP="00350DB2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Materialien: </w:t>
      </w:r>
      <w:r>
        <w:rPr>
          <w:color w:val="000000"/>
        </w:rPr>
        <w:tab/>
      </w:r>
      <w:r>
        <w:rPr>
          <w:color w:val="000000"/>
        </w:rPr>
        <w:tab/>
        <w:t>Bunsenbrenner, 6 Uhrgläser, Magnesiastäbchen</w:t>
      </w:r>
    </w:p>
    <w:p w:rsidR="00350DB2" w:rsidRDefault="00350DB2" w:rsidP="00350DB2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Chemikalien: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Lithiumchlorid</w:t>
      </w:r>
      <w:proofErr w:type="spellEnd"/>
      <w:r>
        <w:rPr>
          <w:color w:val="000000"/>
        </w:rPr>
        <w:t xml:space="preserve">, Kupferchlorid, Natriumchlorid, </w:t>
      </w:r>
      <w:proofErr w:type="spellStart"/>
      <w:r>
        <w:rPr>
          <w:color w:val="000000"/>
        </w:rPr>
        <w:t>Calciumchlorid</w:t>
      </w:r>
      <w:proofErr w:type="spellEnd"/>
      <w:r>
        <w:rPr>
          <w:color w:val="000000"/>
        </w:rPr>
        <w:t xml:space="preserve">, Borsäure, </w:t>
      </w:r>
      <w:proofErr w:type="spellStart"/>
      <w:r>
        <w:rPr>
          <w:color w:val="000000"/>
        </w:rPr>
        <w:t>Strontiumnitrat</w:t>
      </w:r>
      <w:proofErr w:type="spellEnd"/>
      <w:r>
        <w:rPr>
          <w:color w:val="000000"/>
        </w:rPr>
        <w:t>, Wasser</w:t>
      </w:r>
    </w:p>
    <w:p w:rsidR="00350DB2" w:rsidRDefault="00350DB2" w:rsidP="00350DB2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Durchführung</w:t>
      </w:r>
      <w:proofErr w:type="gramStart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Auf die Uhrgläser werden</w:t>
      </w:r>
      <w:proofErr w:type="gramEnd"/>
      <w:r>
        <w:rPr>
          <w:color w:val="000000"/>
        </w:rPr>
        <w:t xml:space="preserve"> jeweils eine </w:t>
      </w:r>
      <w:proofErr w:type="spellStart"/>
      <w:r>
        <w:rPr>
          <w:color w:val="000000"/>
        </w:rPr>
        <w:t>Spatelspitze</w:t>
      </w:r>
      <w:proofErr w:type="spellEnd"/>
      <w:r>
        <w:rPr>
          <w:color w:val="000000"/>
        </w:rPr>
        <w:t xml:space="preserve"> der verschiedenen Sa</w:t>
      </w:r>
      <w:r>
        <w:rPr>
          <w:color w:val="000000"/>
        </w:rPr>
        <w:t>l</w:t>
      </w:r>
      <w:r>
        <w:rPr>
          <w:color w:val="000000"/>
        </w:rPr>
        <w:t>ze gegeben. Diese werden mit wenigen Tropfen Wasser befeuchtet.</w:t>
      </w:r>
    </w:p>
    <w:p w:rsidR="00350DB2" w:rsidRDefault="00350DB2" w:rsidP="00350DB2">
      <w:pPr>
        <w:tabs>
          <w:tab w:val="left" w:pos="1683"/>
          <w:tab w:val="left" w:pos="1967"/>
        </w:tabs>
        <w:ind w:left="1962" w:firstLine="35"/>
        <w:rPr>
          <w:color w:val="000000"/>
        </w:rPr>
      </w:pPr>
      <w:r>
        <w:rPr>
          <w:color w:val="000000"/>
        </w:rPr>
        <w:t>Für jedes Salz wird nun ein Magnesiastäbchen in der Flamme des Bunse</w:t>
      </w:r>
      <w:r>
        <w:rPr>
          <w:color w:val="000000"/>
        </w:rPr>
        <w:t>n</w:t>
      </w:r>
      <w:r>
        <w:rPr>
          <w:color w:val="000000"/>
        </w:rPr>
        <w:t>brenners ausgeglüht, bis die Flamme nicht mehr leuchtet. Das Magnesi</w:t>
      </w:r>
      <w:r>
        <w:rPr>
          <w:color w:val="000000"/>
        </w:rPr>
        <w:t>a</w:t>
      </w:r>
      <w:r>
        <w:rPr>
          <w:color w:val="000000"/>
        </w:rPr>
        <w:lastRenderedPageBreak/>
        <w:t xml:space="preserve">stäbchen wird mit einem Salz benetzt und in die </w:t>
      </w:r>
      <w:proofErr w:type="spellStart"/>
      <w:r>
        <w:rPr>
          <w:color w:val="000000"/>
        </w:rPr>
        <w:t>Bunsenbrennerflamme</w:t>
      </w:r>
      <w:proofErr w:type="spellEnd"/>
      <w:r>
        <w:rPr>
          <w:color w:val="000000"/>
        </w:rPr>
        <w:t xml:space="preserve"> gehalten. Die Flamme wird beobachtet.</w:t>
      </w:r>
    </w:p>
    <w:p w:rsidR="00350DB2" w:rsidRDefault="00350DB2" w:rsidP="00350DB2">
      <w:pPr>
        <w:tabs>
          <w:tab w:val="left" w:pos="1683"/>
          <w:tab w:val="left" w:pos="1967"/>
        </w:tabs>
        <w:ind w:left="1962" w:firstLine="35"/>
        <w:rPr>
          <w:color w:val="000000"/>
        </w:rPr>
      </w:pPr>
      <w:r>
        <w:rPr>
          <w:color w:val="000000"/>
        </w:rPr>
        <w:t>Anschließend wird der genutzte Teil des Magnesiastäbchens abgebrochen oder ein neues genutzt.</w:t>
      </w:r>
    </w:p>
    <w:p w:rsidR="00350DB2" w:rsidRDefault="00350DB2" w:rsidP="00350DB2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Beobachtung: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Die Flammen zeigen charakteristische Flammfärbungen:</w:t>
      </w:r>
    </w:p>
    <w:p w:rsidR="00350DB2" w:rsidRDefault="00350DB2" w:rsidP="00350DB2">
      <w:pPr>
        <w:tabs>
          <w:tab w:val="left" w:pos="1701"/>
          <w:tab w:val="left" w:pos="1985"/>
        </w:tabs>
        <w:ind w:left="1980"/>
        <w:rPr>
          <w:color w:val="000000"/>
        </w:rPr>
      </w:pPr>
      <w:proofErr w:type="spellStart"/>
      <w:r>
        <w:rPr>
          <w:color w:val="000000"/>
        </w:rPr>
        <w:t>Lithiumchlorid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rote Flamme</w:t>
      </w:r>
    </w:p>
    <w:p w:rsidR="00350DB2" w:rsidRDefault="00350DB2" w:rsidP="00350DB2">
      <w:pPr>
        <w:tabs>
          <w:tab w:val="left" w:pos="1701"/>
          <w:tab w:val="left" w:pos="1985"/>
        </w:tabs>
        <w:ind w:left="1980"/>
      </w:pPr>
      <w:r>
        <w:rPr>
          <w:color w:val="000000"/>
          <w:lang w:eastAsia="de-DE"/>
        </w:rPr>
        <w:t>Kupferchlorid</w:t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  <w:t>grüne Flamme</w:t>
      </w:r>
    </w:p>
    <w:p w:rsidR="00350DB2" w:rsidRDefault="00350DB2" w:rsidP="00350DB2">
      <w:pPr>
        <w:tabs>
          <w:tab w:val="left" w:pos="1701"/>
          <w:tab w:val="left" w:pos="1985"/>
        </w:tabs>
        <w:ind w:left="1980"/>
      </w:pPr>
      <w:r>
        <w:rPr>
          <w:color w:val="000000"/>
          <w:lang w:eastAsia="de-DE"/>
        </w:rPr>
        <w:t xml:space="preserve">Natriumchlorid </w:t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  <w:t>gelbe Flamme</w:t>
      </w:r>
    </w:p>
    <w:p w:rsidR="00350DB2" w:rsidRDefault="00350DB2" w:rsidP="00350DB2">
      <w:pPr>
        <w:tabs>
          <w:tab w:val="left" w:pos="1701"/>
          <w:tab w:val="left" w:pos="1985"/>
        </w:tabs>
        <w:ind w:left="1980"/>
      </w:pPr>
      <w:proofErr w:type="spellStart"/>
      <w:r>
        <w:rPr>
          <w:color w:val="000000"/>
          <w:lang w:eastAsia="de-DE"/>
        </w:rPr>
        <w:t>Calciumchlorid</w:t>
      </w:r>
      <w:proofErr w:type="spellEnd"/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  <w:t>ziegelrote Flamme</w:t>
      </w:r>
    </w:p>
    <w:p w:rsidR="00350DB2" w:rsidRDefault="00350DB2" w:rsidP="00350DB2">
      <w:pPr>
        <w:tabs>
          <w:tab w:val="left" w:pos="1701"/>
          <w:tab w:val="left" w:pos="1985"/>
        </w:tabs>
        <w:ind w:left="1980"/>
      </w:pPr>
      <w:r>
        <w:rPr>
          <w:color w:val="000000"/>
          <w:lang w:eastAsia="de-DE"/>
        </w:rPr>
        <w:t>Borsäure</w:t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  <w:t>grüne Flamme</w:t>
      </w:r>
    </w:p>
    <w:p w:rsidR="00350DB2" w:rsidRDefault="00350DB2" w:rsidP="00350DB2">
      <w:pPr>
        <w:tabs>
          <w:tab w:val="left" w:pos="1701"/>
          <w:tab w:val="left" w:pos="1985"/>
        </w:tabs>
        <w:ind w:left="1980"/>
      </w:pPr>
      <w:proofErr w:type="spellStart"/>
      <w:r>
        <w:rPr>
          <w:color w:val="000000"/>
          <w:lang w:eastAsia="de-DE"/>
        </w:rPr>
        <w:t>Strontiumnitrat</w:t>
      </w:r>
      <w:proofErr w:type="spellEnd"/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  <w:t>rote Flamme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4536"/>
      </w:tblGrid>
      <w:tr w:rsidR="00350DB2" w:rsidTr="00FD7686">
        <w:tblPrEx>
          <w:tblCellMar>
            <w:top w:w="0" w:type="dxa"/>
            <w:bottom w:w="0" w:type="dxa"/>
          </w:tblCellMar>
        </w:tblPrEx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DB2" w:rsidRDefault="00350DB2" w:rsidP="00FD7686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inline distT="0" distB="0" distL="0" distR="0">
                  <wp:extent cx="2764800" cy="3105000"/>
                  <wp:effectExtent l="19050" t="0" r="0" b="0"/>
                  <wp:docPr id="13" name="Grafik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800" cy="31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DB2" w:rsidRDefault="00350DB2" w:rsidP="00FD7686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inline distT="0" distB="0" distL="0" distR="0">
                  <wp:extent cx="2730960" cy="3075479"/>
                  <wp:effectExtent l="19050" t="0" r="0" b="0"/>
                  <wp:docPr id="14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960" cy="307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DB2" w:rsidRDefault="00350DB2" w:rsidP="00350DB2">
      <w:pPr>
        <w:rPr>
          <w:color w:val="000000"/>
        </w:rPr>
      </w:pPr>
      <w:r>
        <w:rPr>
          <w:color w:val="000000"/>
        </w:rPr>
        <w:t xml:space="preserve">Abb. 1 – Flammenfärbung von Kupferchlorid und </w:t>
      </w:r>
      <w:proofErr w:type="spellStart"/>
      <w:r>
        <w:rPr>
          <w:color w:val="000000"/>
        </w:rPr>
        <w:t>Strontiumnitrat</w:t>
      </w:r>
      <w:proofErr w:type="spellEnd"/>
    </w:p>
    <w:p w:rsidR="00350DB2" w:rsidRDefault="00350DB2" w:rsidP="00350DB2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Deutung: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Die charakteristischen Flammenfärbungen sind auf Elektronenübergänge der jeweiligen Metallatome  zurückzuführen. In den Atomen werden Elek</w:t>
      </w:r>
      <w:r>
        <w:rPr>
          <w:color w:val="000000"/>
        </w:rPr>
        <w:t>t</w:t>
      </w:r>
      <w:r>
        <w:rPr>
          <w:color w:val="000000"/>
        </w:rPr>
        <w:t>ronen durch die zugeführte Wärmeenergie  angeregt. Diese Energie geben sie in Form von Licht einer bestimmten Frequenz ab.</w:t>
      </w:r>
    </w:p>
    <w:p w:rsidR="00350DB2" w:rsidRDefault="00350DB2" w:rsidP="00350DB2">
      <w:pPr>
        <w:tabs>
          <w:tab w:val="left" w:pos="1701"/>
          <w:tab w:val="left" w:pos="1985"/>
        </w:tabs>
        <w:ind w:left="1980"/>
        <w:rPr>
          <w:color w:val="000000"/>
        </w:rPr>
      </w:pPr>
      <w:r>
        <w:rPr>
          <w:color w:val="000000"/>
        </w:rPr>
        <w:lastRenderedPageBreak/>
        <w:t xml:space="preserve">Für die </w:t>
      </w:r>
      <w:proofErr w:type="spellStart"/>
      <w:r>
        <w:rPr>
          <w:color w:val="000000"/>
        </w:rPr>
        <w:t>SuS</w:t>
      </w:r>
      <w:proofErr w:type="spellEnd"/>
      <w:r>
        <w:rPr>
          <w:color w:val="000000"/>
        </w:rPr>
        <w:t xml:space="preserve"> der Jahrgänge 5/6 wird die Flammenfärbung als spezifische Stoffeigenschaft von Metallen dargestellt.</w:t>
      </w:r>
    </w:p>
    <w:p w:rsidR="00350DB2" w:rsidRDefault="00350DB2" w:rsidP="00350DB2">
      <w:pPr>
        <w:tabs>
          <w:tab w:val="left" w:pos="1701"/>
          <w:tab w:val="left" w:pos="1985"/>
        </w:tabs>
        <w:ind w:left="1980"/>
        <w:rPr>
          <w:color w:val="000000"/>
        </w:rPr>
      </w:pPr>
    </w:p>
    <w:p w:rsidR="00350DB2" w:rsidRDefault="00350DB2" w:rsidP="00350DB2">
      <w:pPr>
        <w:spacing w:line="276" w:lineRule="auto"/>
        <w:ind w:left="1985" w:hanging="1985"/>
        <w:jc w:val="left"/>
      </w:pPr>
      <w:r>
        <w:rPr>
          <w:color w:val="000000"/>
        </w:rPr>
        <w:t>Literatur:</w:t>
      </w:r>
      <w:r>
        <w:rPr>
          <w:color w:val="000000"/>
        </w:rPr>
        <w:tab/>
        <w:t xml:space="preserve">[1] K. Häußler, H. </w:t>
      </w:r>
      <w:proofErr w:type="spellStart"/>
      <w:r>
        <w:rPr>
          <w:color w:val="000000"/>
        </w:rPr>
        <w:t>Rampf</w:t>
      </w:r>
      <w:proofErr w:type="spellEnd"/>
      <w:r>
        <w:rPr>
          <w:color w:val="000000"/>
        </w:rPr>
        <w:t>, R. Reichelt, Experimente für den Chemieunte</w:t>
      </w:r>
      <w:r>
        <w:rPr>
          <w:color w:val="000000"/>
        </w:rPr>
        <w:t>r</w:t>
      </w:r>
      <w:r>
        <w:rPr>
          <w:color w:val="000000"/>
        </w:rPr>
        <w:t xml:space="preserve">richt – mit einer Einführung in die Labortechnik, </w:t>
      </w:r>
      <w:proofErr w:type="spellStart"/>
      <w:r>
        <w:rPr>
          <w:color w:val="000000"/>
        </w:rPr>
        <w:t>Oldenbourg</w:t>
      </w:r>
      <w:proofErr w:type="spellEnd"/>
      <w:r>
        <w:rPr>
          <w:color w:val="000000"/>
        </w:rPr>
        <w:t xml:space="preserve">, 2. Auflage,  1995, S. 127f. </w:t>
      </w:r>
      <w:r>
        <w:rPr>
          <w:color w:val="000000"/>
        </w:rPr>
        <w:br/>
      </w:r>
    </w:p>
    <w:p w:rsidR="00350DB2" w:rsidRPr="00350DB2" w:rsidRDefault="00350DB2" w:rsidP="00350DB2">
      <w:r w:rsidRPr="005620BA">
        <w:rPr>
          <w:color w:val="000000"/>
          <w:lang w:eastAsia="de-DE"/>
        </w:rPr>
      </w:r>
      <w:r w:rsidRPr="005620BA">
        <w:rPr>
          <w:color w:val="000000"/>
          <w:lang w:eastAsia="de-DE"/>
        </w:rPr>
        <w:pict>
          <v:shape id="Text Box 131" o:spid="_x0000_s1029" type="#_x0000_t202" style="width:462.45pt;height:2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#c0504d" strokeweight=".99pt">
            <v:stroke dashstyle="dash"/>
            <v:textbox style="mso-next-textbox:#Text Box 131;mso-rotate-with-shape:t">
              <w:txbxContent>
                <w:p w:rsidR="00350DB2" w:rsidRDefault="00350DB2" w:rsidP="00350DB2">
                  <w:r>
                    <w:rPr>
                      <w:b/>
                      <w:color w:val="000000"/>
                    </w:rPr>
                    <w:t>Unterrichtsanschlüsse</w:t>
                  </w:r>
                </w:p>
                <w:p w:rsidR="00350DB2" w:rsidRDefault="00350DB2" w:rsidP="00350DB2">
                  <w:r>
                    <w:rPr>
                      <w:color w:val="000000"/>
                    </w:rPr>
                    <w:t>Der Versuch kann in höheren Jahrgangsstufen auch als Schülerversuch durchgeführt und e</w:t>
                  </w:r>
                  <w:r>
                    <w:rPr>
                      <w:color w:val="000000"/>
                    </w:rPr>
                    <w:t>r</w:t>
                  </w:r>
                  <w:r>
                    <w:rPr>
                      <w:color w:val="000000"/>
                    </w:rPr>
                    <w:t>klärt werden. Für die Jahrgangsstufen 5 und 6 kann er innerhalb der Thematik „Stoffeige</w:t>
                  </w:r>
                  <w:r>
                    <w:rPr>
                      <w:color w:val="000000"/>
                    </w:rPr>
                    <w:t>n</w:t>
                  </w:r>
                  <w:r>
                    <w:rPr>
                      <w:color w:val="000000"/>
                    </w:rPr>
                    <w:t>schaften“ genutzt werden.</w:t>
                  </w:r>
                </w:p>
                <w:p w:rsidR="00350DB2" w:rsidRDefault="00350DB2" w:rsidP="00350DB2">
                  <w:r>
                    <w:rPr>
                      <w:color w:val="000000"/>
                    </w:rPr>
                    <w:t xml:space="preserve">Teilweise sind die Flammenfärbungen nicht eindeutig zu erkennen. Es bietet sich daher an, die Schülerinnen und Schüler für das Experiment an den </w:t>
                  </w:r>
                  <w:proofErr w:type="spellStart"/>
                  <w:r>
                    <w:rPr>
                      <w:color w:val="000000"/>
                    </w:rPr>
                    <w:t>Experiementiertisch</w:t>
                  </w:r>
                  <w:proofErr w:type="spellEnd"/>
                  <w:r>
                    <w:rPr>
                      <w:color w:val="000000"/>
                    </w:rPr>
                    <w:t xml:space="preserve"> zu bitten. Der Bu</w:t>
                  </w:r>
                  <w:r>
                    <w:rPr>
                      <w:color w:val="000000"/>
                    </w:rPr>
                    <w:t>n</w:t>
                  </w:r>
                  <w:r>
                    <w:rPr>
                      <w:color w:val="000000"/>
                    </w:rPr>
                    <w:t>senbrenner kann nicht durch Kerzen ersetzt werden, da die gelbe Farbe der Kerzenflamme die Flammenfärbung meist überdeckt.</w:t>
                  </w:r>
                </w:p>
                <w:p w:rsidR="00350DB2" w:rsidRDefault="00350DB2" w:rsidP="00350DB2">
                  <w:r>
                    <w:rPr>
                      <w:color w:val="000000"/>
                    </w:rPr>
                    <w:t>Die benutzen Magnesiastäbchen werden als anorganische Feststoffe gesammelt und entspr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</w:rPr>
                    <w:t>chend entsorgt.</w:t>
                  </w:r>
                </w:p>
              </w:txbxContent>
            </v:textbox>
            <w10:wrap type="none"/>
            <w10:anchorlock/>
          </v:shape>
        </w:pict>
      </w:r>
    </w:p>
    <w:p w:rsidR="00350DB2" w:rsidRPr="00350DB2" w:rsidRDefault="00350DB2" w:rsidP="00350DB2"/>
    <w:sectPr w:rsidR="00350DB2" w:rsidRPr="00350DB2" w:rsidSect="00105256">
      <w:headerReference w:type="default" r:id="rId1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A87B73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350DB2">
              <w:rPr>
                <w:noProof/>
                <w:sz w:val="20"/>
                <w:szCs w:val="20"/>
              </w:rPr>
              <w:t>V1  – Flammfärbung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A87B73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350DB2">
            <w:rPr>
              <w:noProof/>
              <w:sz w:val="20"/>
              <w:szCs w:val="20"/>
            </w:rPr>
            <w:t>3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B45B2"/>
    <w:multiLevelType w:val="multilevel"/>
    <w:tmpl w:val="1C52C7BE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de-D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0DB2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87B73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customStyle="1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WWOutlineListStyle">
    <w:name w:val="WW_OutlineListStyle"/>
    <w:basedOn w:val="KeineListe"/>
    <w:rsid w:val="00350DB2"/>
    <w:pPr>
      <w:numPr>
        <w:numId w:val="14"/>
      </w:numPr>
    </w:pPr>
  </w:style>
  <w:style w:type="paragraph" w:customStyle="1" w:styleId="Heading1">
    <w:name w:val="Heading 1"/>
    <w:basedOn w:val="Standard"/>
    <w:next w:val="Standard"/>
    <w:rsid w:val="00350DB2"/>
    <w:pPr>
      <w:keepNext/>
      <w:keepLines/>
      <w:numPr>
        <w:numId w:val="14"/>
      </w:numPr>
      <w:autoSpaceDN w:val="0"/>
      <w:spacing w:before="360" w:after="240"/>
      <w:textAlignment w:val="baseline"/>
      <w:outlineLvl w:val="0"/>
    </w:pPr>
    <w:rPr>
      <w:rFonts w:eastAsia="MS Gothic"/>
      <w:b/>
      <w:bCs/>
      <w:sz w:val="28"/>
      <w:szCs w:val="28"/>
    </w:rPr>
  </w:style>
  <w:style w:type="paragraph" w:customStyle="1" w:styleId="Heading2">
    <w:name w:val="Heading 2"/>
    <w:basedOn w:val="Standard"/>
    <w:next w:val="Standard"/>
    <w:rsid w:val="00350DB2"/>
    <w:pPr>
      <w:keepNext/>
      <w:keepLines/>
      <w:numPr>
        <w:ilvl w:val="1"/>
        <w:numId w:val="14"/>
      </w:numPr>
      <w:autoSpaceDN w:val="0"/>
      <w:spacing w:before="200"/>
      <w:textAlignment w:val="baseline"/>
      <w:outlineLvl w:val="1"/>
    </w:pPr>
    <w:rPr>
      <w:rFonts w:eastAsia="MS Gothic"/>
      <w:b/>
      <w:bCs/>
      <w:szCs w:val="26"/>
    </w:rPr>
  </w:style>
  <w:style w:type="paragraph" w:customStyle="1" w:styleId="Heading3">
    <w:name w:val="Heading 3"/>
    <w:basedOn w:val="Standard"/>
    <w:next w:val="Standard"/>
    <w:rsid w:val="00350DB2"/>
    <w:pPr>
      <w:keepNext/>
      <w:keepLines/>
      <w:numPr>
        <w:ilvl w:val="2"/>
        <w:numId w:val="14"/>
      </w:numPr>
      <w:autoSpaceDN w:val="0"/>
      <w:spacing w:before="200" w:after="120"/>
      <w:textAlignment w:val="baseline"/>
      <w:outlineLvl w:val="2"/>
    </w:pPr>
    <w:rPr>
      <w:rFonts w:eastAsia="MS Gothic"/>
      <w:b/>
      <w:bCs/>
      <w:i/>
    </w:rPr>
  </w:style>
  <w:style w:type="paragraph" w:customStyle="1" w:styleId="Heading4">
    <w:name w:val="Heading 4"/>
    <w:basedOn w:val="Standard"/>
    <w:next w:val="Standard"/>
    <w:rsid w:val="00350DB2"/>
    <w:pPr>
      <w:keepNext/>
      <w:keepLines/>
      <w:numPr>
        <w:ilvl w:val="3"/>
        <w:numId w:val="14"/>
      </w:numPr>
      <w:autoSpaceDN w:val="0"/>
      <w:spacing w:before="200" w:after="0"/>
      <w:textAlignment w:val="baseline"/>
      <w:outlineLvl w:val="3"/>
    </w:pPr>
    <w:rPr>
      <w:rFonts w:eastAsia="MS Gothic"/>
      <w:b/>
      <w:bCs/>
      <w:i/>
      <w:iCs/>
      <w:color w:val="4F81BD"/>
    </w:rPr>
  </w:style>
  <w:style w:type="paragraph" w:customStyle="1" w:styleId="Heading5">
    <w:name w:val="Heading 5"/>
    <w:basedOn w:val="Standard"/>
    <w:next w:val="Standard"/>
    <w:rsid w:val="00350DB2"/>
    <w:pPr>
      <w:keepNext/>
      <w:keepLines/>
      <w:numPr>
        <w:ilvl w:val="4"/>
        <w:numId w:val="14"/>
      </w:numPr>
      <w:autoSpaceDN w:val="0"/>
      <w:spacing w:before="200" w:after="0"/>
      <w:textAlignment w:val="baseline"/>
      <w:outlineLvl w:val="4"/>
    </w:pPr>
    <w:rPr>
      <w:rFonts w:eastAsia="MS Gothic"/>
      <w:color w:val="243F60"/>
    </w:rPr>
  </w:style>
  <w:style w:type="paragraph" w:customStyle="1" w:styleId="Heading6">
    <w:name w:val="Heading 6"/>
    <w:basedOn w:val="Standard"/>
    <w:next w:val="Standard"/>
    <w:rsid w:val="00350DB2"/>
    <w:pPr>
      <w:keepNext/>
      <w:keepLines/>
      <w:numPr>
        <w:ilvl w:val="5"/>
        <w:numId w:val="14"/>
      </w:numPr>
      <w:autoSpaceDN w:val="0"/>
      <w:spacing w:before="200" w:after="0"/>
      <w:textAlignment w:val="baseline"/>
      <w:outlineLvl w:val="5"/>
    </w:pPr>
    <w:rPr>
      <w:rFonts w:eastAsia="MS Gothic"/>
      <w:i/>
      <w:iCs/>
      <w:color w:val="243F60"/>
    </w:rPr>
  </w:style>
  <w:style w:type="paragraph" w:customStyle="1" w:styleId="Heading7">
    <w:name w:val="Heading 7"/>
    <w:basedOn w:val="Standard"/>
    <w:next w:val="Standard"/>
    <w:rsid w:val="00350DB2"/>
    <w:pPr>
      <w:keepNext/>
      <w:keepLines/>
      <w:numPr>
        <w:ilvl w:val="6"/>
        <w:numId w:val="14"/>
      </w:numPr>
      <w:autoSpaceDN w:val="0"/>
      <w:spacing w:before="200" w:after="0"/>
      <w:textAlignment w:val="baseline"/>
      <w:outlineLvl w:val="6"/>
    </w:pPr>
    <w:rPr>
      <w:rFonts w:eastAsia="MS Gothic"/>
      <w:i/>
      <w:iCs/>
      <w:color w:val="404040"/>
    </w:rPr>
  </w:style>
  <w:style w:type="paragraph" w:customStyle="1" w:styleId="Heading8">
    <w:name w:val="Heading 8"/>
    <w:basedOn w:val="Standard"/>
    <w:next w:val="Standard"/>
    <w:rsid w:val="00350DB2"/>
    <w:pPr>
      <w:keepNext/>
      <w:keepLines/>
      <w:numPr>
        <w:ilvl w:val="7"/>
        <w:numId w:val="14"/>
      </w:numPr>
      <w:autoSpaceDN w:val="0"/>
      <w:spacing w:before="200" w:after="0"/>
      <w:textAlignment w:val="baseline"/>
      <w:outlineLvl w:val="7"/>
    </w:pPr>
    <w:rPr>
      <w:rFonts w:eastAsia="MS Gothic"/>
      <w:color w:val="404040"/>
      <w:sz w:val="20"/>
      <w:szCs w:val="20"/>
    </w:rPr>
  </w:style>
  <w:style w:type="paragraph" w:customStyle="1" w:styleId="Heading9">
    <w:name w:val="Heading 9"/>
    <w:basedOn w:val="Standard"/>
    <w:next w:val="Standard"/>
    <w:rsid w:val="00350DB2"/>
    <w:pPr>
      <w:keepNext/>
      <w:keepLines/>
      <w:numPr>
        <w:ilvl w:val="8"/>
        <w:numId w:val="14"/>
      </w:numPr>
      <w:autoSpaceDN w:val="0"/>
      <w:spacing w:before="200" w:after="0"/>
      <w:textAlignment w:val="baseline"/>
      <w:outlineLvl w:val="8"/>
    </w:pPr>
    <w:rPr>
      <w:rFonts w:eastAsia="MS Gothic"/>
      <w:i/>
      <w:iCs/>
      <w:color w:val="404040"/>
      <w:sz w:val="20"/>
      <w:szCs w:val="20"/>
    </w:rPr>
  </w:style>
  <w:style w:type="paragraph" w:customStyle="1" w:styleId="TableContents">
    <w:name w:val="Table Contents"/>
    <w:basedOn w:val="Standard"/>
    <w:rsid w:val="00350DB2"/>
    <w:pPr>
      <w:suppressLineNumbers/>
      <w:autoSpaceDN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F142-6760-4157-8DDD-66F7266A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lukas.riehl</cp:lastModifiedBy>
  <cp:revision>3</cp:revision>
  <cp:lastPrinted>2012-06-21T19:47:00Z</cp:lastPrinted>
  <dcterms:created xsi:type="dcterms:W3CDTF">2013-07-10T10:55:00Z</dcterms:created>
  <dcterms:modified xsi:type="dcterms:W3CDTF">2013-08-14T17:58:00Z</dcterms:modified>
</cp:coreProperties>
</file>