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33" w:rsidRDefault="00426D33" w:rsidP="00426D33">
      <w:pPr>
        <w:pStyle w:val="berschrift1"/>
        <w:numPr>
          <w:ilvl w:val="0"/>
          <w:numId w:val="0"/>
        </w:numPr>
        <w:ind w:left="431" w:hanging="431"/>
      </w:pPr>
      <w:bookmarkStart w:id="0" w:name="_Toc337149077"/>
      <w:r w:rsidRPr="005620BA">
        <w:pict>
          <v:shapetype id="_x0000_t202" coordsize="21600,21600" o:spt="202" path="m,l,21600r21600,l21600,xe">
            <v:stroke joinstyle="miter"/>
            <v:path gradientshapeok="t" o:connecttype="rect"/>
          </v:shapetype>
          <v:shape id="Rahmen2" o:spid="_x0000_s1027" type="#_x0000_t202" style="position:absolute;left:0;text-align:left;margin-left:4.95pt;margin-top:50.1pt;width:462.45pt;height:67.1pt;z-index:251660288;visibility:visible;mso-wrap-style:square;mso-position-horizontal-relative:text;mso-position-vertical-relative:text;v-text-anchor:top" strokecolor="#4bacc6" strokeweight=".99pt">
            <v:stroke dashstyle="dash"/>
            <v:textbox style="mso-next-textbox:#Rahmen2;mso-rotate-with-shape:t">
              <w:txbxContent>
                <w:p w:rsidR="00426D33" w:rsidRDefault="00426D33" w:rsidP="00426D33">
                  <w:pPr>
                    <w:rPr>
                      <w:color w:val="000000"/>
                    </w:rPr>
                  </w:pPr>
                  <w:r>
                    <w:rPr>
                      <w:color w:val="000000"/>
                    </w:rPr>
                    <w:t xml:space="preserve">In diesem Versuch wird ein fest geknicktes Kupferblech in der </w:t>
                  </w:r>
                  <w:proofErr w:type="spellStart"/>
                  <w:r>
                    <w:rPr>
                      <w:color w:val="000000"/>
                    </w:rPr>
                    <w:t>Bunsenbrennerflamme</w:t>
                  </w:r>
                  <w:proofErr w:type="spellEnd"/>
                  <w:r>
                    <w:rPr>
                      <w:color w:val="000000"/>
                    </w:rPr>
                    <w:t xml:space="preserve"> zum Glühen gebracht. Nach dem Abkühlen und Auseinanderfalten wird deutlich, dass das Blech nur den </w:t>
                  </w:r>
                  <w:proofErr w:type="spellStart"/>
                  <w:r>
                    <w:rPr>
                      <w:color w:val="000000"/>
                    </w:rPr>
                    <w:t>den</w:t>
                  </w:r>
                  <w:proofErr w:type="spellEnd"/>
                  <w:r>
                    <w:rPr>
                      <w:color w:val="000000"/>
                    </w:rPr>
                    <w:t xml:space="preserve"> Stellen mit einer Oxidschicht überzogen ist, an die mit Luft in Berührung standen.</w:t>
                  </w:r>
                </w:p>
              </w:txbxContent>
            </v:textbox>
            <w10:wrap type="square"/>
          </v:shape>
        </w:pict>
      </w:r>
      <w:r w:rsidR="00222A21">
        <w:t>V</w:t>
      </w:r>
      <w:r>
        <w:t>2</w:t>
      </w:r>
      <w:r w:rsidR="00A8045D">
        <w:t xml:space="preserve">  – </w:t>
      </w:r>
      <w:bookmarkEnd w:id="0"/>
      <w:r>
        <w:t>Bedeutung von Luft für die Verbrennung</w:t>
      </w:r>
    </w:p>
    <w:p w:rsidR="00426D33" w:rsidRDefault="00426D33" w:rsidP="00426D33">
      <w:pPr>
        <w:tabs>
          <w:tab w:val="left" w:pos="-279"/>
          <w:tab w:val="left" w:pos="5"/>
        </w:tabs>
        <w:rPr>
          <w:color w:val="000000"/>
        </w:rPr>
      </w:pPr>
    </w:p>
    <w:p w:rsidR="00426D33" w:rsidRDefault="00426D33" w:rsidP="00426D33">
      <w:pPr>
        <w:tabs>
          <w:tab w:val="left" w:pos="-279"/>
          <w:tab w:val="left" w:pos="5"/>
        </w:tabs>
        <w:rPr>
          <w:color w:val="000000"/>
        </w:rPr>
      </w:pPr>
      <w:r>
        <w:rPr>
          <w:color w:val="000000"/>
        </w:rPr>
        <w:t>Materialien:</w:t>
      </w:r>
      <w:r>
        <w:rPr>
          <w:color w:val="000000"/>
        </w:rPr>
        <w:tab/>
        <w:t xml:space="preserve">            Bunsenbrenner, Tiegelzange</w:t>
      </w:r>
    </w:p>
    <w:p w:rsidR="00426D33" w:rsidRDefault="00426D33" w:rsidP="00426D33">
      <w:pPr>
        <w:tabs>
          <w:tab w:val="left" w:pos="1701"/>
          <w:tab w:val="left" w:pos="1985"/>
        </w:tabs>
        <w:ind w:left="1980" w:hanging="1980"/>
        <w:rPr>
          <w:color w:val="000000"/>
        </w:rPr>
      </w:pPr>
      <w:r>
        <w:rPr>
          <w:color w:val="000000"/>
        </w:rPr>
        <w:t>Chemikalien:</w:t>
      </w:r>
      <w:r>
        <w:rPr>
          <w:color w:val="000000"/>
        </w:rPr>
        <w:tab/>
      </w:r>
      <w:r>
        <w:rPr>
          <w:color w:val="000000"/>
        </w:rPr>
        <w:tab/>
        <w:t>Kupfer(-blech)</w:t>
      </w:r>
    </w:p>
    <w:p w:rsidR="00426D33" w:rsidRDefault="00426D33" w:rsidP="00426D33">
      <w:pPr>
        <w:tabs>
          <w:tab w:val="left" w:pos="1701"/>
          <w:tab w:val="left" w:pos="1985"/>
        </w:tabs>
        <w:ind w:left="1980" w:hanging="1980"/>
        <w:rPr>
          <w:color w:val="000000"/>
        </w:rPr>
      </w:pPr>
      <w:r>
        <w:rPr>
          <w:color w:val="000000"/>
        </w:rPr>
        <w:t xml:space="preserve">Durchführung: </w:t>
      </w:r>
      <w:r>
        <w:rPr>
          <w:color w:val="000000"/>
        </w:rPr>
        <w:tab/>
      </w:r>
      <w:r>
        <w:rPr>
          <w:color w:val="000000"/>
        </w:rPr>
        <w:tab/>
      </w:r>
      <w:r>
        <w:rPr>
          <w:color w:val="000000"/>
        </w:rPr>
        <w:tab/>
        <w:t>Ein Kupferblech wird in der Mitte umgeknickt, genauso wie die entstehe</w:t>
      </w:r>
      <w:r>
        <w:rPr>
          <w:color w:val="000000"/>
        </w:rPr>
        <w:t>n</w:t>
      </w:r>
      <w:r>
        <w:rPr>
          <w:color w:val="000000"/>
        </w:rPr>
        <w:t>den offenen Ränder. Dieses geknickte Kupferblech wird in der Brenne</w:t>
      </w:r>
      <w:r>
        <w:rPr>
          <w:color w:val="000000"/>
        </w:rPr>
        <w:t>r</w:t>
      </w:r>
      <w:r>
        <w:rPr>
          <w:color w:val="000000"/>
        </w:rPr>
        <w:t>flamme zum Glühen gebracht.</w:t>
      </w:r>
    </w:p>
    <w:p w:rsidR="00426D33" w:rsidRDefault="00426D33" w:rsidP="00426D33">
      <w:pPr>
        <w:tabs>
          <w:tab w:val="left" w:pos="1701"/>
          <w:tab w:val="left" w:pos="1985"/>
        </w:tabs>
        <w:ind w:left="1980" w:firstLine="14"/>
        <w:rPr>
          <w:color w:val="000000"/>
        </w:rPr>
      </w:pPr>
      <w:r>
        <w:rPr>
          <w:color w:val="000000"/>
        </w:rPr>
        <w:t>Nach dem Abkühlen wird das Kupferblech vorsichtig auseinandergefaltet.</w:t>
      </w:r>
    </w:p>
    <w:p w:rsidR="00426D33" w:rsidRDefault="00426D33" w:rsidP="00426D33">
      <w:pPr>
        <w:tabs>
          <w:tab w:val="left" w:pos="1701"/>
          <w:tab w:val="left" w:pos="1985"/>
        </w:tabs>
        <w:ind w:left="1980" w:hanging="1980"/>
      </w:pPr>
      <w:r>
        <w:rPr>
          <w:color w:val="000000"/>
        </w:rPr>
        <w:t>Beobachtung:</w:t>
      </w:r>
      <w:r>
        <w:rPr>
          <w:color w:val="000000"/>
        </w:rPr>
        <w:tab/>
      </w:r>
      <w:r>
        <w:rPr>
          <w:color w:val="000000"/>
        </w:rPr>
        <w:tab/>
      </w:r>
      <w:r>
        <w:rPr>
          <w:color w:val="000000"/>
        </w:rPr>
        <w:tab/>
        <w:t xml:space="preserve">An der Außenseite des geknickten Kupferbleches ist dieses mit </w:t>
      </w:r>
      <w:r>
        <w:rPr>
          <w:color w:val="000000"/>
          <w:lang w:eastAsia="de-DE"/>
        </w:rPr>
        <w:t xml:space="preserve"> einer schwarzen Schicht überzogen. An den Innenflächen ist keine Veränderung sichtbar.</w:t>
      </w:r>
    </w:p>
    <w:p w:rsidR="00426D33" w:rsidRDefault="00426D33" w:rsidP="00426D33">
      <w:pPr>
        <w:tabs>
          <w:tab w:val="left" w:pos="1701"/>
          <w:tab w:val="left" w:pos="1985"/>
        </w:tabs>
        <w:ind w:left="1980" w:hanging="1980"/>
      </w:pPr>
      <w:r>
        <w:rPr>
          <w:color w:val="000000"/>
          <w:lang w:eastAsia="de-DE"/>
        </w:rPr>
        <w:t>Deutung:</w:t>
      </w:r>
      <w:r>
        <w:rPr>
          <w:color w:val="000000"/>
          <w:lang w:eastAsia="de-DE"/>
        </w:rPr>
        <w:tab/>
      </w:r>
      <w:r>
        <w:rPr>
          <w:color w:val="000000"/>
          <w:lang w:eastAsia="de-DE"/>
        </w:rPr>
        <w:tab/>
      </w:r>
      <w:r>
        <w:rPr>
          <w:color w:val="000000"/>
          <w:lang w:eastAsia="de-DE"/>
        </w:rPr>
        <w:tab/>
        <w:t>Bei der schwarzen Schicht handelt es sich um die Oxidschicht. Diese en</w:t>
      </w:r>
      <w:r>
        <w:rPr>
          <w:color w:val="000000"/>
          <w:lang w:eastAsia="de-DE"/>
        </w:rPr>
        <w:t>t</w:t>
      </w:r>
      <w:r>
        <w:rPr>
          <w:color w:val="000000"/>
          <w:lang w:eastAsia="de-DE"/>
        </w:rPr>
        <w:t>steht nur an den Stellen des geknickten Kupferbleches, die mit Luft bzw. mit dem Luftsauerstoff in Berührung kommen.</w:t>
      </w:r>
    </w:p>
    <w:tbl>
      <w:tblPr>
        <w:tblW w:w="9072" w:type="dxa"/>
        <w:tblInd w:w="45" w:type="dxa"/>
        <w:tblLayout w:type="fixed"/>
        <w:tblCellMar>
          <w:left w:w="10" w:type="dxa"/>
          <w:right w:w="10" w:type="dxa"/>
        </w:tblCellMar>
        <w:tblLook w:val="04A0"/>
      </w:tblPr>
      <w:tblGrid>
        <w:gridCol w:w="4535"/>
        <w:gridCol w:w="4537"/>
      </w:tblGrid>
      <w:tr w:rsidR="00426D33" w:rsidTr="00FD7686">
        <w:tblPrEx>
          <w:tblCellMar>
            <w:top w:w="0" w:type="dxa"/>
            <w:bottom w:w="0" w:type="dxa"/>
          </w:tblCellMar>
        </w:tblPrEx>
        <w:tc>
          <w:tcPr>
            <w:tcW w:w="4535" w:type="dxa"/>
            <w:tcMar>
              <w:top w:w="55" w:type="dxa"/>
              <w:left w:w="55" w:type="dxa"/>
              <w:bottom w:w="55" w:type="dxa"/>
              <w:right w:w="55" w:type="dxa"/>
            </w:tcMar>
          </w:tcPr>
          <w:p w:rsidR="00426D33" w:rsidRDefault="00426D33" w:rsidP="00FD7686">
            <w:pPr>
              <w:pStyle w:val="TableContents"/>
              <w:rPr>
                <w:color w:val="000000"/>
              </w:rPr>
            </w:pPr>
            <w:r>
              <w:rPr>
                <w:noProof/>
                <w:color w:val="000000"/>
                <w:lang w:eastAsia="de-DE"/>
              </w:rPr>
              <w:drawing>
                <wp:inline distT="0" distB="0" distL="0" distR="0">
                  <wp:extent cx="2809800" cy="2107080"/>
                  <wp:effectExtent l="19050" t="0" r="0" b="0"/>
                  <wp:docPr id="15" name="Grafik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809800" cy="2107080"/>
                          </a:xfrm>
                          <a:prstGeom prst="rect">
                            <a:avLst/>
                          </a:prstGeom>
                        </pic:spPr>
                      </pic:pic>
                    </a:graphicData>
                  </a:graphic>
                </wp:inline>
              </w:drawing>
            </w:r>
          </w:p>
        </w:tc>
        <w:tc>
          <w:tcPr>
            <w:tcW w:w="4537" w:type="dxa"/>
            <w:tcMar>
              <w:top w:w="55" w:type="dxa"/>
              <w:left w:w="55" w:type="dxa"/>
              <w:bottom w:w="55" w:type="dxa"/>
              <w:right w:w="55" w:type="dxa"/>
            </w:tcMar>
          </w:tcPr>
          <w:p w:rsidR="00426D33" w:rsidRDefault="00426D33" w:rsidP="00FD7686">
            <w:pPr>
              <w:pStyle w:val="TableContents"/>
              <w:rPr>
                <w:color w:val="000000"/>
              </w:rPr>
            </w:pPr>
            <w:r>
              <w:rPr>
                <w:noProof/>
                <w:color w:val="000000"/>
                <w:lang w:eastAsia="de-DE"/>
              </w:rPr>
              <w:drawing>
                <wp:inline distT="0" distB="0" distL="0" distR="0">
                  <wp:extent cx="2811240" cy="2108160"/>
                  <wp:effectExtent l="19050" t="0" r="8160" b="0"/>
                  <wp:docPr id="16" name="Grafik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2811240" cy="2108160"/>
                          </a:xfrm>
                          <a:prstGeom prst="rect">
                            <a:avLst/>
                          </a:prstGeom>
                        </pic:spPr>
                      </pic:pic>
                    </a:graphicData>
                  </a:graphic>
                </wp:inline>
              </w:drawing>
            </w:r>
          </w:p>
        </w:tc>
      </w:tr>
    </w:tbl>
    <w:p w:rsidR="00426D33" w:rsidRDefault="00426D33" w:rsidP="00426D33">
      <w:pPr>
        <w:rPr>
          <w:color w:val="000000"/>
        </w:rPr>
      </w:pPr>
      <w:r>
        <w:rPr>
          <w:color w:val="000000"/>
        </w:rPr>
        <w:t>Abb. 2 – Die Außen- und Innenflächen des geknickten Kupferbleches nach dem Glühen</w:t>
      </w:r>
    </w:p>
    <w:p w:rsidR="00426D33" w:rsidRDefault="00426D33" w:rsidP="00426D33">
      <w:pPr>
        <w:spacing w:line="276" w:lineRule="auto"/>
        <w:ind w:left="2127" w:hanging="2127"/>
        <w:jc w:val="left"/>
      </w:pPr>
      <w:r>
        <w:rPr>
          <w:color w:val="000000"/>
        </w:rPr>
        <w:lastRenderedPageBreak/>
        <w:t>Literatur:</w:t>
      </w:r>
      <w:r>
        <w:rPr>
          <w:color w:val="000000"/>
        </w:rPr>
        <w:tab/>
        <w:t xml:space="preserve">[1] K. Häußler, H. </w:t>
      </w:r>
      <w:proofErr w:type="spellStart"/>
      <w:r>
        <w:rPr>
          <w:color w:val="000000"/>
        </w:rPr>
        <w:t>Rampf</w:t>
      </w:r>
      <w:proofErr w:type="spellEnd"/>
      <w:r>
        <w:rPr>
          <w:color w:val="000000"/>
        </w:rPr>
        <w:t>, R. Reichelt, Experimente für den Chemieunte</w:t>
      </w:r>
      <w:r>
        <w:rPr>
          <w:color w:val="000000"/>
        </w:rPr>
        <w:t>r</w:t>
      </w:r>
      <w:r>
        <w:rPr>
          <w:color w:val="000000"/>
        </w:rPr>
        <w:t xml:space="preserve">richt – mit einer Einführung in die Labortechnik, </w:t>
      </w:r>
      <w:proofErr w:type="spellStart"/>
      <w:r>
        <w:rPr>
          <w:color w:val="000000"/>
        </w:rPr>
        <w:t>Oldenbourg</w:t>
      </w:r>
      <w:proofErr w:type="spellEnd"/>
      <w:r>
        <w:rPr>
          <w:color w:val="000000"/>
        </w:rPr>
        <w:t xml:space="preserve">, 2. Auflage,  1995, S. 72. </w:t>
      </w:r>
      <w:r>
        <w:rPr>
          <w:color w:val="000000"/>
        </w:rPr>
        <w:br/>
      </w:r>
    </w:p>
    <w:p w:rsidR="00426D33" w:rsidRDefault="00426D33" w:rsidP="00426D33">
      <w:pPr>
        <w:tabs>
          <w:tab w:val="left" w:pos="1701"/>
          <w:tab w:val="left" w:pos="1985"/>
        </w:tabs>
        <w:ind w:left="1980" w:hanging="1980"/>
      </w:pPr>
      <w:r w:rsidRPr="005620BA">
        <w:rPr>
          <w:color w:val="000000"/>
          <w:lang w:eastAsia="de-DE"/>
        </w:rPr>
      </w:r>
      <w:r w:rsidRPr="005620BA">
        <w:rPr>
          <w:color w:val="000000"/>
          <w:lang w:eastAsia="de-DE"/>
        </w:rPr>
        <w:pict>
          <v:shape id="Rahmen1" o:spid="_x0000_s1026" type="#_x0000_t202" style="width:462.45pt;height:253.25pt;visibility:visible;mso-wrap-style:square;mso-left-percent:-10001;mso-top-percent:-10001;mso-position-horizontal:absolute;mso-position-horizontal-relative:char;mso-position-vertical:absolute;mso-position-vertical-relative:line;mso-left-percent:-10001;mso-top-percent:-10001;v-text-anchor:top" strokecolor="#c0504d" strokeweight=".99pt">
            <v:stroke dashstyle="dash"/>
            <v:textbox style="mso-rotate-with-shape:t">
              <w:txbxContent>
                <w:p w:rsidR="00426D33" w:rsidRDefault="00426D33" w:rsidP="00426D33">
                  <w:r>
                    <w:rPr>
                      <w:b/>
                      <w:color w:val="000000"/>
                    </w:rPr>
                    <w:t>Unterrichtsanschlüsse</w:t>
                  </w:r>
                </w:p>
                <w:p w:rsidR="00426D33" w:rsidRDefault="00426D33" w:rsidP="00426D33">
                  <w:r>
                    <w:rPr>
                      <w:color w:val="000000"/>
                    </w:rPr>
                    <w:t>Wenn die Schülerinnen und Schüler mit dem Bunsenbrenner vertraut sind, kann der Versuch auch als Schülerexperiment genutzt werden. Es sollte ein möglichst dünnes Kupferblech g</w:t>
                  </w:r>
                  <w:r>
                    <w:rPr>
                      <w:color w:val="000000"/>
                    </w:rPr>
                    <w:t>e</w:t>
                  </w:r>
                  <w:r>
                    <w:rPr>
                      <w:color w:val="000000"/>
                    </w:rPr>
                    <w:t>nutzt werden, da es sonst nur sehr schwer zweimal zu knicken ist. Der Versuch benötigt relativ viel Zeit, die für das Knicken, das Abkühlen und das Entfalten des Bleches benötigt wird. Dabei muss vor allem beachtet werden, dass das Blech sehr heiß ist.</w:t>
                  </w:r>
                </w:p>
                <w:p w:rsidR="00426D33" w:rsidRDefault="00426D33" w:rsidP="00426D33">
                  <w:r>
                    <w:rPr>
                      <w:color w:val="000000"/>
                    </w:rPr>
                    <w:t>Der Versuch kann eingesetzt werden, um zu verdeutlichen, dass Luft für eine Verbrennung nötig ist. Das Kupferblech sollte deutlich glühen, damit die Schülerinnen und Schüler die Rea</w:t>
                  </w:r>
                  <w:r>
                    <w:rPr>
                      <w:color w:val="000000"/>
                    </w:rPr>
                    <w:t>k</w:t>
                  </w:r>
                  <w:r>
                    <w:rPr>
                      <w:color w:val="000000"/>
                    </w:rPr>
                    <w:t>tion als Verbrennung begreifen können.</w:t>
                  </w:r>
                </w:p>
                <w:p w:rsidR="00426D33" w:rsidRDefault="00426D33" w:rsidP="00426D33">
                  <w:r>
                    <w:rPr>
                      <w:color w:val="000000"/>
                    </w:rPr>
                    <w:t>Wenn die Oxidschicht entfernt wird, kann das Kupferblech mehrfach verwendet werden. Für die Entsorgung bestehen keine besonderen Vorgaben.</w:t>
                  </w:r>
                </w:p>
              </w:txbxContent>
            </v:textbox>
            <w10:wrap type="none"/>
            <w10:anchorlock/>
          </v:shape>
        </w:pict>
      </w:r>
    </w:p>
    <w:p w:rsidR="00426D33" w:rsidRPr="00426D33" w:rsidRDefault="00426D33" w:rsidP="00426D33"/>
    <w:sectPr w:rsidR="00426D33" w:rsidRPr="00426D33" w:rsidSect="00105256">
      <w:headerReference w:type="default" r:id="rId10"/>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B5" w:rsidRDefault="002625B5" w:rsidP="009524CC">
      <w:pPr>
        <w:spacing w:after="0"/>
      </w:pPr>
      <w:r>
        <w:separator/>
      </w:r>
    </w:p>
  </w:endnote>
  <w:endnote w:type="continuationSeparator" w:id="0">
    <w:p w:rsidR="002625B5" w:rsidRDefault="002625B5"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B5" w:rsidRDefault="002625B5" w:rsidP="009524CC">
      <w:pPr>
        <w:spacing w:after="0"/>
      </w:pPr>
      <w:r>
        <w:separator/>
      </w:r>
    </w:p>
  </w:footnote>
  <w:footnote w:type="continuationSeparator" w:id="0">
    <w:p w:rsidR="002625B5" w:rsidRDefault="002625B5"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761AD0" w:rsidP="00BD7F16">
          <w:pPr>
            <w:pStyle w:val="Kopfzeile"/>
            <w:tabs>
              <w:tab w:val="clear" w:pos="4680"/>
              <w:tab w:val="left" w:pos="0"/>
              <w:tab w:val="center" w:pos="284"/>
              <w:tab w:val="left" w:pos="8789"/>
            </w:tabs>
            <w:rPr>
              <w:sz w:val="20"/>
              <w:szCs w:val="20"/>
            </w:rPr>
          </w:pPr>
          <w:fldSimple w:instr=" STYLEREF  &quot;Überschrift 1&quot;  \* MERGEFORMAT ">
            <w:r w:rsidR="00426D33" w:rsidRPr="00426D33">
              <w:rPr>
                <w:b/>
                <w:bCs/>
                <w:noProof/>
                <w:sz w:val="20"/>
                <w:szCs w:val="20"/>
              </w:rPr>
              <w:t>V2  –</w:t>
            </w:r>
            <w:r w:rsidR="00426D33">
              <w:rPr>
                <w:noProof/>
              </w:rPr>
              <w:t xml:space="preserve"> Bedeutung von Luft für die Verbrennung</w:t>
            </w:r>
          </w:fldSimple>
        </w:p>
      </w:tc>
      <w:tc>
        <w:tcPr>
          <w:tcW w:w="695" w:type="dxa"/>
          <w:tcBorders>
            <w:bottom w:val="single" w:sz="4" w:space="0" w:color="auto"/>
          </w:tcBorders>
          <w:shd w:val="clear" w:color="auto" w:fill="auto"/>
        </w:tcPr>
        <w:p w:rsidR="00501F12" w:rsidRPr="00BD7F16" w:rsidRDefault="00761AD0"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426D33">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D5B45B2"/>
    <w:multiLevelType w:val="multilevel"/>
    <w:tmpl w:val="1C52C7BE"/>
    <w:styleLink w:val="WWOutlineListStyl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de-D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5"/>
  </w:num>
  <w:num w:numId="12">
    <w:abstractNumId w:val="8"/>
  </w:num>
  <w:num w:numId="13">
    <w:abstractNumId w:val="7"/>
  </w:num>
  <w:num w:numId="14">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2A21"/>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25B5"/>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6D33"/>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565"/>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1AD0"/>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WWOutlineListStyle">
    <w:name w:val="WW_OutlineListStyle"/>
    <w:basedOn w:val="KeineListe"/>
    <w:rsid w:val="00426D33"/>
    <w:pPr>
      <w:numPr>
        <w:numId w:val="14"/>
      </w:numPr>
    </w:pPr>
  </w:style>
  <w:style w:type="paragraph" w:customStyle="1" w:styleId="Heading1">
    <w:name w:val="Heading 1"/>
    <w:basedOn w:val="Standard"/>
    <w:next w:val="Standard"/>
    <w:rsid w:val="00426D33"/>
    <w:pPr>
      <w:keepNext/>
      <w:keepLines/>
      <w:numPr>
        <w:numId w:val="14"/>
      </w:numPr>
      <w:autoSpaceDN w:val="0"/>
      <w:spacing w:before="360" w:after="240"/>
      <w:textAlignment w:val="baseline"/>
      <w:outlineLvl w:val="0"/>
    </w:pPr>
    <w:rPr>
      <w:rFonts w:eastAsia="MS Gothic"/>
      <w:b/>
      <w:bCs/>
      <w:sz w:val="28"/>
      <w:szCs w:val="28"/>
    </w:rPr>
  </w:style>
  <w:style w:type="paragraph" w:customStyle="1" w:styleId="Heading2">
    <w:name w:val="Heading 2"/>
    <w:basedOn w:val="Standard"/>
    <w:next w:val="Standard"/>
    <w:rsid w:val="00426D33"/>
    <w:pPr>
      <w:keepNext/>
      <w:keepLines/>
      <w:numPr>
        <w:ilvl w:val="1"/>
        <w:numId w:val="14"/>
      </w:numPr>
      <w:autoSpaceDN w:val="0"/>
      <w:spacing w:before="200"/>
      <w:textAlignment w:val="baseline"/>
      <w:outlineLvl w:val="1"/>
    </w:pPr>
    <w:rPr>
      <w:rFonts w:eastAsia="MS Gothic"/>
      <w:b/>
      <w:bCs/>
      <w:szCs w:val="26"/>
    </w:rPr>
  </w:style>
  <w:style w:type="paragraph" w:customStyle="1" w:styleId="Heading3">
    <w:name w:val="Heading 3"/>
    <w:basedOn w:val="Standard"/>
    <w:next w:val="Standard"/>
    <w:rsid w:val="00426D33"/>
    <w:pPr>
      <w:keepNext/>
      <w:keepLines/>
      <w:numPr>
        <w:ilvl w:val="2"/>
        <w:numId w:val="14"/>
      </w:numPr>
      <w:autoSpaceDN w:val="0"/>
      <w:spacing w:before="200" w:after="120"/>
      <w:textAlignment w:val="baseline"/>
      <w:outlineLvl w:val="2"/>
    </w:pPr>
    <w:rPr>
      <w:rFonts w:eastAsia="MS Gothic"/>
      <w:b/>
      <w:bCs/>
      <w:i/>
    </w:rPr>
  </w:style>
  <w:style w:type="paragraph" w:customStyle="1" w:styleId="Heading4">
    <w:name w:val="Heading 4"/>
    <w:basedOn w:val="Standard"/>
    <w:next w:val="Standard"/>
    <w:rsid w:val="00426D33"/>
    <w:pPr>
      <w:keepNext/>
      <w:keepLines/>
      <w:numPr>
        <w:ilvl w:val="3"/>
        <w:numId w:val="14"/>
      </w:numPr>
      <w:autoSpaceDN w:val="0"/>
      <w:spacing w:before="200" w:after="0"/>
      <w:textAlignment w:val="baseline"/>
      <w:outlineLvl w:val="3"/>
    </w:pPr>
    <w:rPr>
      <w:rFonts w:eastAsia="MS Gothic"/>
      <w:b/>
      <w:bCs/>
      <w:i/>
      <w:iCs/>
      <w:color w:val="4F81BD"/>
    </w:rPr>
  </w:style>
  <w:style w:type="paragraph" w:customStyle="1" w:styleId="Heading5">
    <w:name w:val="Heading 5"/>
    <w:basedOn w:val="Standard"/>
    <w:next w:val="Standard"/>
    <w:rsid w:val="00426D33"/>
    <w:pPr>
      <w:keepNext/>
      <w:keepLines/>
      <w:numPr>
        <w:ilvl w:val="4"/>
        <w:numId w:val="14"/>
      </w:numPr>
      <w:autoSpaceDN w:val="0"/>
      <w:spacing w:before="200" w:after="0"/>
      <w:textAlignment w:val="baseline"/>
      <w:outlineLvl w:val="4"/>
    </w:pPr>
    <w:rPr>
      <w:rFonts w:eastAsia="MS Gothic"/>
      <w:color w:val="243F60"/>
    </w:rPr>
  </w:style>
  <w:style w:type="paragraph" w:customStyle="1" w:styleId="Heading6">
    <w:name w:val="Heading 6"/>
    <w:basedOn w:val="Standard"/>
    <w:next w:val="Standard"/>
    <w:rsid w:val="00426D33"/>
    <w:pPr>
      <w:keepNext/>
      <w:keepLines/>
      <w:numPr>
        <w:ilvl w:val="5"/>
        <w:numId w:val="14"/>
      </w:numPr>
      <w:autoSpaceDN w:val="0"/>
      <w:spacing w:before="200" w:after="0"/>
      <w:textAlignment w:val="baseline"/>
      <w:outlineLvl w:val="5"/>
    </w:pPr>
    <w:rPr>
      <w:rFonts w:eastAsia="MS Gothic"/>
      <w:i/>
      <w:iCs/>
      <w:color w:val="243F60"/>
    </w:rPr>
  </w:style>
  <w:style w:type="paragraph" w:customStyle="1" w:styleId="Heading7">
    <w:name w:val="Heading 7"/>
    <w:basedOn w:val="Standard"/>
    <w:next w:val="Standard"/>
    <w:rsid w:val="00426D33"/>
    <w:pPr>
      <w:keepNext/>
      <w:keepLines/>
      <w:numPr>
        <w:ilvl w:val="6"/>
        <w:numId w:val="14"/>
      </w:numPr>
      <w:autoSpaceDN w:val="0"/>
      <w:spacing w:before="200" w:after="0"/>
      <w:textAlignment w:val="baseline"/>
      <w:outlineLvl w:val="6"/>
    </w:pPr>
    <w:rPr>
      <w:rFonts w:eastAsia="MS Gothic"/>
      <w:i/>
      <w:iCs/>
      <w:color w:val="404040"/>
    </w:rPr>
  </w:style>
  <w:style w:type="paragraph" w:customStyle="1" w:styleId="Heading8">
    <w:name w:val="Heading 8"/>
    <w:basedOn w:val="Standard"/>
    <w:next w:val="Standard"/>
    <w:rsid w:val="00426D33"/>
    <w:pPr>
      <w:keepNext/>
      <w:keepLines/>
      <w:numPr>
        <w:ilvl w:val="7"/>
        <w:numId w:val="14"/>
      </w:numPr>
      <w:autoSpaceDN w:val="0"/>
      <w:spacing w:before="200" w:after="0"/>
      <w:textAlignment w:val="baseline"/>
      <w:outlineLvl w:val="7"/>
    </w:pPr>
    <w:rPr>
      <w:rFonts w:eastAsia="MS Gothic"/>
      <w:color w:val="404040"/>
      <w:sz w:val="20"/>
      <w:szCs w:val="20"/>
    </w:rPr>
  </w:style>
  <w:style w:type="paragraph" w:customStyle="1" w:styleId="Heading9">
    <w:name w:val="Heading 9"/>
    <w:basedOn w:val="Standard"/>
    <w:next w:val="Standard"/>
    <w:rsid w:val="00426D33"/>
    <w:pPr>
      <w:keepNext/>
      <w:keepLines/>
      <w:numPr>
        <w:ilvl w:val="8"/>
        <w:numId w:val="14"/>
      </w:numPr>
      <w:autoSpaceDN w:val="0"/>
      <w:spacing w:before="200" w:after="0"/>
      <w:textAlignment w:val="baseline"/>
      <w:outlineLvl w:val="8"/>
    </w:pPr>
    <w:rPr>
      <w:rFonts w:eastAsia="MS Gothic"/>
      <w:i/>
      <w:iCs/>
      <w:color w:val="404040"/>
      <w:sz w:val="20"/>
      <w:szCs w:val="20"/>
    </w:rPr>
  </w:style>
  <w:style w:type="paragraph" w:customStyle="1" w:styleId="TableContents">
    <w:name w:val="Table Contents"/>
    <w:basedOn w:val="Standard"/>
    <w:rsid w:val="00426D33"/>
    <w:pPr>
      <w:suppressLineNumbers/>
      <w:autoSpaceDN w:val="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80851-EAAC-422F-BB1D-5065CEF4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904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lukas.riehl</cp:lastModifiedBy>
  <cp:revision>4</cp:revision>
  <cp:lastPrinted>2012-06-21T19:47:00Z</cp:lastPrinted>
  <dcterms:created xsi:type="dcterms:W3CDTF">2013-07-10T10:57:00Z</dcterms:created>
  <dcterms:modified xsi:type="dcterms:W3CDTF">2013-08-14T18:02:00Z</dcterms:modified>
</cp:coreProperties>
</file>