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D" w:rsidRDefault="00222A21" w:rsidP="00A8045D">
      <w:pPr>
        <w:pStyle w:val="berschrift1"/>
        <w:numPr>
          <w:ilvl w:val="0"/>
          <w:numId w:val="0"/>
        </w:numPr>
        <w:ind w:left="431" w:hanging="431"/>
      </w:pPr>
      <w:bookmarkStart w:id="0" w:name="_Toc337149077"/>
      <w:r>
        <w:t>V</w:t>
      </w:r>
      <w:r w:rsidR="00906A00">
        <w:t>5</w:t>
      </w:r>
      <w:r w:rsidR="00A8045D">
        <w:t xml:space="preserve">  – </w:t>
      </w:r>
      <w:bookmarkEnd w:id="0"/>
      <w:r w:rsidR="00906A00">
        <w:t>Untersuchung der Kerzenflamme – Ruß</w:t>
      </w:r>
    </w:p>
    <w:p w:rsidR="00906A00" w:rsidRDefault="00906A00" w:rsidP="00906A00">
      <w:pPr>
        <w:rPr>
          <w:color w:val="000000"/>
        </w:rPr>
      </w:pPr>
      <w:r w:rsidRPr="005620BA"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hmen8" o:spid="_x0000_s1027" type="#_x0000_t202" style="position:absolute;left:0;text-align:left;margin-left:-2.55pt;margin-top:3.9pt;width:462.45pt;height:27.45pt;z-index:251660288;visibility:visible;mso-wrap-style:square;mso-position-horizontal-relative:text;mso-position-vertical-relative:text;v-text-anchor:top" strokecolor="#4bacc6" strokeweight=".99pt">
            <v:stroke dashstyle="dash"/>
            <v:textbox style="mso-rotate-with-shape:t">
              <w:txbxContent>
                <w:p w:rsidR="00906A00" w:rsidRDefault="00906A00" w:rsidP="00906A00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Mit diesem Versuch wird verdeutlicht, dass die Kerzenflamme Ruß enthält.</w:t>
                  </w:r>
                </w:p>
              </w:txbxContent>
            </v:textbox>
            <w10:wrap type="topAndBottom"/>
          </v:shape>
        </w:pict>
      </w:r>
    </w:p>
    <w:p w:rsidR="00906A00" w:rsidRDefault="00906A00" w:rsidP="00906A00">
      <w:pPr>
        <w:rPr>
          <w:color w:val="000000"/>
        </w:rPr>
      </w:pPr>
      <w:r>
        <w:rPr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  <w:t>Teelichter, Tiegelzangen, Porzellanschalen</w:t>
      </w:r>
    </w:p>
    <w:p w:rsidR="00906A00" w:rsidRDefault="00906A00" w:rsidP="00906A00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</w:r>
      <w:r>
        <w:rPr>
          <w:color w:val="000000"/>
        </w:rPr>
        <w:tab/>
        <w:t>-</w:t>
      </w:r>
    </w:p>
    <w:p w:rsidR="00906A00" w:rsidRDefault="00906A00" w:rsidP="00906A00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Durchführung: </w:t>
      </w:r>
      <w:r>
        <w:rPr>
          <w:color w:val="000000"/>
        </w:rPr>
        <w:tab/>
      </w:r>
      <w:r>
        <w:rPr>
          <w:color w:val="000000"/>
        </w:rPr>
        <w:tab/>
        <w:t>Mit der Tiegelzange wird die Porzellanschale in die Flamme eines Teelichts gehalten.</w:t>
      </w:r>
    </w:p>
    <w:p w:rsidR="00906A00" w:rsidRDefault="00906A00" w:rsidP="00906A00">
      <w:pPr>
        <w:tabs>
          <w:tab w:val="left" w:pos="1701"/>
          <w:tab w:val="left" w:pos="1985"/>
        </w:tabs>
        <w:ind w:left="1980" w:hanging="1980"/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eastAsia="de-DE"/>
        </w:rPr>
        <w:t>An der Stelle der Porzellanschale, die in die Flamme gehalten wurde, ist ein schwarzer Fleck sichtbar.</w:t>
      </w:r>
    </w:p>
    <w:tbl>
      <w:tblPr>
        <w:tblW w:w="901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6"/>
        <w:gridCol w:w="4506"/>
      </w:tblGrid>
      <w:tr w:rsidR="00906A00" w:rsidTr="00906A00">
        <w:tblPrEx>
          <w:tblCellMar>
            <w:top w:w="0" w:type="dxa"/>
            <w:bottom w:w="0" w:type="dxa"/>
          </w:tblCellMar>
        </w:tblPrEx>
        <w:trPr>
          <w:trHeight w:val="3249"/>
        </w:trPr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A00" w:rsidRDefault="00906A00" w:rsidP="00FD7686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>
                  <wp:extent cx="2409825" cy="1676400"/>
                  <wp:effectExtent l="19050" t="0" r="9525" b="0"/>
                  <wp:docPr id="28" name="Grafik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A00" w:rsidRDefault="00906A00" w:rsidP="00FD7686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>
                  <wp:extent cx="2476500" cy="1676400"/>
                  <wp:effectExtent l="19050" t="0" r="0" b="0"/>
                  <wp:docPr id="29" name="Grafik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340" cy="167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A00" w:rsidRDefault="00906A00" w:rsidP="00906A00">
      <w:pPr>
        <w:rPr>
          <w:color w:val="000000"/>
        </w:rPr>
      </w:pPr>
      <w:r>
        <w:rPr>
          <w:color w:val="000000"/>
        </w:rPr>
        <w:t>Abb. 5 – An der Porzellanschale lagert sich Ruß ab.</w:t>
      </w:r>
    </w:p>
    <w:p w:rsidR="00906A00" w:rsidRDefault="00906A00" w:rsidP="00906A00">
      <w:pPr>
        <w:tabs>
          <w:tab w:val="left" w:pos="1701"/>
          <w:tab w:val="left" w:pos="1985"/>
        </w:tabs>
        <w:ind w:left="1980" w:hanging="1980"/>
      </w:pPr>
      <w:r>
        <w:rPr>
          <w:color w:val="000000"/>
          <w:lang w:eastAsia="de-DE"/>
        </w:rPr>
        <w:t>Deutung:</w:t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>An der Porzellanschale lagert sich Ruß ab. Ruß besteht zum größten Teil aus Kohlenstoff.</w:t>
      </w:r>
    </w:p>
    <w:p w:rsidR="00906A00" w:rsidRDefault="00906A00" w:rsidP="00906A00">
      <w:pPr>
        <w:spacing w:line="276" w:lineRule="auto"/>
        <w:ind w:left="1985" w:hanging="1985"/>
        <w:jc w:val="left"/>
        <w:rPr>
          <w:color w:val="000000"/>
        </w:rPr>
      </w:pPr>
      <w:r>
        <w:rPr>
          <w:color w:val="000000"/>
        </w:rPr>
        <w:t>Literatur:</w:t>
      </w:r>
      <w:r>
        <w:rPr>
          <w:color w:val="000000"/>
        </w:rPr>
        <w:tab/>
        <w:t xml:space="preserve">[1] H. Schmidkunz, W. </w:t>
      </w:r>
      <w:proofErr w:type="spellStart"/>
      <w:r>
        <w:rPr>
          <w:color w:val="000000"/>
        </w:rPr>
        <w:t>Rentzsch</w:t>
      </w:r>
      <w:proofErr w:type="spellEnd"/>
      <w:r>
        <w:rPr>
          <w:color w:val="000000"/>
        </w:rPr>
        <w:t>, Chemische Freihandversuch – Kleine Ve</w:t>
      </w:r>
      <w:r>
        <w:rPr>
          <w:color w:val="000000"/>
        </w:rPr>
        <w:t>r</w:t>
      </w:r>
      <w:r>
        <w:rPr>
          <w:color w:val="000000"/>
        </w:rPr>
        <w:t xml:space="preserve">suche mit großer Wirkung – Band 1, </w:t>
      </w:r>
      <w:proofErr w:type="spellStart"/>
      <w:r>
        <w:rPr>
          <w:color w:val="000000"/>
        </w:rPr>
        <w:t>Aulis</w:t>
      </w:r>
      <w:proofErr w:type="spellEnd"/>
      <w:r>
        <w:rPr>
          <w:color w:val="000000"/>
        </w:rPr>
        <w:t xml:space="preserve"> Verlag, 1. Auflage, 2011, S. 104</w:t>
      </w:r>
    </w:p>
    <w:p w:rsidR="00906A00" w:rsidRDefault="00906A00" w:rsidP="00906A00">
      <w:pPr>
        <w:tabs>
          <w:tab w:val="left" w:pos="1701"/>
          <w:tab w:val="left" w:pos="1985"/>
        </w:tabs>
        <w:ind w:left="1980" w:hanging="1980"/>
      </w:pPr>
      <w:r w:rsidRPr="005620BA">
        <w:rPr>
          <w:color w:val="000000"/>
          <w:lang w:eastAsia="de-DE"/>
        </w:rPr>
      </w:r>
      <w:r w:rsidRPr="005620BA">
        <w:rPr>
          <w:color w:val="000000"/>
          <w:lang w:eastAsia="de-DE"/>
        </w:rPr>
        <w:pict>
          <v:shape id="Rahmen7" o:spid="_x0000_s1026" type="#_x0000_t202" style="width:462.45pt;height:1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c0504d" strokeweight=".99pt">
            <v:stroke dashstyle="dash"/>
            <v:textbox style="mso-next-textbox:#Rahmen7;mso-rotate-with-shape:t">
              <w:txbxContent>
                <w:p w:rsidR="00906A00" w:rsidRDefault="00906A00" w:rsidP="00906A00">
                  <w:r>
                    <w:rPr>
                      <w:b/>
                      <w:color w:val="000000"/>
                    </w:rPr>
                    <w:t>Unterrichtsanschlüsse</w:t>
                  </w:r>
                </w:p>
                <w:p w:rsidR="00906A00" w:rsidRDefault="00906A00" w:rsidP="00906A00">
                  <w:r>
                    <w:rPr>
                      <w:color w:val="000000"/>
                    </w:rPr>
                    <w:t>Der Versuch kann eingesetzt werden, um die Eigenschaften einer Kerzenflamme zu unters</w:t>
                  </w:r>
                  <w:r>
                    <w:rPr>
                      <w:color w:val="000000"/>
                    </w:rPr>
                    <w:t>u</w:t>
                  </w:r>
                  <w:r>
                    <w:rPr>
                      <w:color w:val="000000"/>
                    </w:rPr>
                    <w:t>chen. Ergänzend bietet es sich an die Versuche V1 und V4 durchzuführen.</w:t>
                  </w:r>
                </w:p>
                <w:p w:rsidR="00906A00" w:rsidRDefault="00906A00" w:rsidP="00906A00">
                  <w:r>
                    <w:rPr>
                      <w:color w:val="000000"/>
                    </w:rPr>
                    <w:t xml:space="preserve">Alternativ kann statt einer Porzellanschale ein </w:t>
                  </w:r>
                  <w:proofErr w:type="spellStart"/>
                  <w:r>
                    <w:rPr>
                      <w:color w:val="000000"/>
                    </w:rPr>
                    <w:t>Glasstab</w:t>
                  </w:r>
                  <w:proofErr w:type="spellEnd"/>
                  <w:r>
                    <w:rPr>
                      <w:color w:val="000000"/>
                    </w:rPr>
                    <w:t xml:space="preserve"> in die Flamme gehalten werden. Mit diesem </w:t>
                  </w:r>
                  <w:proofErr w:type="spellStart"/>
                  <w:r>
                    <w:rPr>
                      <w:color w:val="000000"/>
                    </w:rPr>
                    <w:t>Glasstab</w:t>
                  </w:r>
                  <w:proofErr w:type="spellEnd"/>
                  <w:r>
                    <w:rPr>
                      <w:color w:val="000000"/>
                    </w:rPr>
                    <w:t xml:space="preserve"> können die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im Anschluss an den Versuch „schreiben“.</w:t>
                  </w:r>
                </w:p>
                <w:p w:rsidR="00906A00" w:rsidRDefault="00906A00" w:rsidP="00906A00"/>
              </w:txbxContent>
            </v:textbox>
            <w10:wrap type="none"/>
            <w10:anchorlock/>
          </v:shape>
        </w:pict>
      </w:r>
    </w:p>
    <w:sectPr w:rsidR="00906A00" w:rsidSect="00105256">
      <w:headerReference w:type="default" r:id="rId10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5B5" w:rsidRDefault="002625B5" w:rsidP="009524CC">
      <w:pPr>
        <w:spacing w:after="0"/>
      </w:pPr>
      <w:r>
        <w:separator/>
      </w:r>
    </w:p>
  </w:endnote>
  <w:endnote w:type="continuationSeparator" w:id="0">
    <w:p w:rsidR="002625B5" w:rsidRDefault="002625B5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5B5" w:rsidRDefault="002625B5" w:rsidP="009524CC">
      <w:pPr>
        <w:spacing w:after="0"/>
      </w:pPr>
      <w:r>
        <w:separator/>
      </w:r>
    </w:p>
  </w:footnote>
  <w:footnote w:type="continuationSeparator" w:id="0">
    <w:p w:rsidR="002625B5" w:rsidRDefault="002625B5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9A0ECA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906A00" w:rsidRPr="00906A00">
              <w:rPr>
                <w:b/>
                <w:bCs/>
                <w:noProof/>
                <w:sz w:val="20"/>
                <w:szCs w:val="20"/>
              </w:rPr>
              <w:t>V5  –</w:t>
            </w:r>
            <w:r w:rsidR="00906A00">
              <w:rPr>
                <w:noProof/>
              </w:rPr>
              <w:t xml:space="preserve"> Untersuchung der Kerzenflamme – Ruß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9A0ECA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906A00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B45B2"/>
    <w:multiLevelType w:val="multilevel"/>
    <w:tmpl w:val="1C52C7BE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2A21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25B5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565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06A00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0ECA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WWOutlineListStyle">
    <w:name w:val="WW_OutlineListStyle"/>
    <w:basedOn w:val="KeineListe"/>
    <w:rsid w:val="00906A00"/>
    <w:pPr>
      <w:numPr>
        <w:numId w:val="14"/>
      </w:numPr>
    </w:pPr>
  </w:style>
  <w:style w:type="paragraph" w:customStyle="1" w:styleId="Heading1">
    <w:name w:val="Heading 1"/>
    <w:basedOn w:val="Standard"/>
    <w:next w:val="Standard"/>
    <w:rsid w:val="00906A00"/>
    <w:pPr>
      <w:keepNext/>
      <w:keepLines/>
      <w:numPr>
        <w:numId w:val="14"/>
      </w:numPr>
      <w:autoSpaceDN w:val="0"/>
      <w:spacing w:before="360" w:after="240"/>
      <w:textAlignment w:val="baseline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906A00"/>
    <w:pPr>
      <w:keepNext/>
      <w:keepLines/>
      <w:numPr>
        <w:ilvl w:val="1"/>
        <w:numId w:val="14"/>
      </w:numPr>
      <w:autoSpaceDN w:val="0"/>
      <w:spacing w:before="200"/>
      <w:textAlignment w:val="baseline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906A00"/>
    <w:pPr>
      <w:keepNext/>
      <w:keepLines/>
      <w:numPr>
        <w:ilvl w:val="2"/>
        <w:numId w:val="14"/>
      </w:numPr>
      <w:autoSpaceDN w:val="0"/>
      <w:spacing w:before="200" w:after="120"/>
      <w:textAlignment w:val="baseline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906A00"/>
    <w:pPr>
      <w:keepNext/>
      <w:keepLines/>
      <w:numPr>
        <w:ilvl w:val="3"/>
        <w:numId w:val="14"/>
      </w:numPr>
      <w:autoSpaceDN w:val="0"/>
      <w:spacing w:before="200" w:after="0"/>
      <w:textAlignment w:val="baseline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906A00"/>
    <w:pPr>
      <w:keepNext/>
      <w:keepLines/>
      <w:numPr>
        <w:ilvl w:val="4"/>
        <w:numId w:val="14"/>
      </w:numPr>
      <w:autoSpaceDN w:val="0"/>
      <w:spacing w:before="200" w:after="0"/>
      <w:textAlignment w:val="baseline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906A00"/>
    <w:pPr>
      <w:keepNext/>
      <w:keepLines/>
      <w:numPr>
        <w:ilvl w:val="5"/>
        <w:numId w:val="14"/>
      </w:numPr>
      <w:autoSpaceDN w:val="0"/>
      <w:spacing w:before="200" w:after="0"/>
      <w:textAlignment w:val="baseline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906A00"/>
    <w:pPr>
      <w:keepNext/>
      <w:keepLines/>
      <w:numPr>
        <w:ilvl w:val="6"/>
        <w:numId w:val="14"/>
      </w:numPr>
      <w:autoSpaceDN w:val="0"/>
      <w:spacing w:before="200" w:after="0"/>
      <w:textAlignment w:val="baseline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906A00"/>
    <w:pPr>
      <w:keepNext/>
      <w:keepLines/>
      <w:numPr>
        <w:ilvl w:val="7"/>
        <w:numId w:val="14"/>
      </w:numPr>
      <w:autoSpaceDN w:val="0"/>
      <w:spacing w:before="200" w:after="0"/>
      <w:textAlignment w:val="baseline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906A00"/>
    <w:pPr>
      <w:keepNext/>
      <w:keepLines/>
      <w:numPr>
        <w:ilvl w:val="8"/>
        <w:numId w:val="14"/>
      </w:numPr>
      <w:autoSpaceDN w:val="0"/>
      <w:spacing w:before="200" w:after="0"/>
      <w:textAlignment w:val="baseline"/>
      <w:outlineLvl w:val="8"/>
    </w:pPr>
    <w:rPr>
      <w:rFonts w:eastAsia="MS Gothic"/>
      <w:i/>
      <w:iCs/>
      <w:color w:val="404040"/>
      <w:sz w:val="20"/>
      <w:szCs w:val="20"/>
    </w:rPr>
  </w:style>
  <w:style w:type="paragraph" w:customStyle="1" w:styleId="TableContents">
    <w:name w:val="Table Contents"/>
    <w:basedOn w:val="Standard"/>
    <w:rsid w:val="00906A00"/>
    <w:pPr>
      <w:suppressLineNumber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0979-2DDD-4918-817F-BF5FAB64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lukas.riehl</cp:lastModifiedBy>
  <cp:revision>4</cp:revision>
  <cp:lastPrinted>2012-06-21T19:47:00Z</cp:lastPrinted>
  <dcterms:created xsi:type="dcterms:W3CDTF">2013-07-10T10:57:00Z</dcterms:created>
  <dcterms:modified xsi:type="dcterms:W3CDTF">2013-08-14T18:05:00Z</dcterms:modified>
</cp:coreProperties>
</file>