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F54" w:rsidRDefault="002B1F54" w:rsidP="002B1F54">
      <w:pPr>
        <w:pStyle w:val="berschrift1"/>
        <w:numPr>
          <w:ilvl w:val="0"/>
          <w:numId w:val="0"/>
        </w:numPr>
        <w:ind w:left="431" w:hanging="431"/>
      </w:pPr>
      <w:bookmarkStart w:id="0" w:name="_Toc338321574"/>
      <w:r>
        <w:rPr>
          <w:noProof/>
          <w:lang w:eastAsia="de-DE"/>
        </w:rPr>
        <mc:AlternateContent>
          <mc:Choice Requires="wps">
            <w:drawing>
              <wp:anchor distT="0" distB="0" distL="114300" distR="114300" simplePos="0" relativeHeight="251658240" behindDoc="0" locked="0" layoutInCell="1" allowOverlap="1" wp14:anchorId="7B894F54" wp14:editId="5DB53B55">
                <wp:simplePos x="0" y="0"/>
                <wp:positionH relativeFrom="column">
                  <wp:posOffset>-635</wp:posOffset>
                </wp:positionH>
                <wp:positionV relativeFrom="paragraph">
                  <wp:posOffset>701675</wp:posOffset>
                </wp:positionV>
                <wp:extent cx="5873115" cy="551815"/>
                <wp:effectExtent l="0" t="0" r="13335" b="19685"/>
                <wp:wrapSquare wrapText="bothSides"/>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5181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1F54" w:rsidRDefault="002B1F54" w:rsidP="002B1F54">
                            <w:pPr>
                              <w:rPr>
                                <w:color w:val="auto"/>
                              </w:rPr>
                            </w:pPr>
                            <w:r>
                              <w:rPr>
                                <w:color w:val="auto"/>
                              </w:rPr>
                              <w:t>In diesem Versuch wird gezeigt, dass Tinte nicht in Fetten, dafür in Wasser löslich ist. Die Sch</w:t>
                            </w:r>
                            <w:r>
                              <w:rPr>
                                <w:color w:val="auto"/>
                              </w:rPr>
                              <w:t>ü</w:t>
                            </w:r>
                            <w:r>
                              <w:rPr>
                                <w:color w:val="auto"/>
                              </w:rPr>
                              <w:t xml:space="preserve">lerinnen und Schüler müssen  wissen, dass sich Fett und Wasser nicht lösen.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left:0;text-align:left;margin-left:-.05pt;margin-top:55.25pt;width:462.45pt;height:4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w50gIAALkFAAAOAAAAZHJzL2Uyb0RvYy54bWysVF1r2zAUfR/sPwi9p7YTO3FNnZK4yRjs&#10;C9qxZ8WSbTFZ8iQldjf233clJ2loNxhjCRhd6eronnM/bm6HVqAD04YrmePoKsSIyVJRLuscf37Y&#10;TlKMjCWSEqEky/EjM/h2+frVTd9lbKoaJSjTCECkyfoux421XRYEpmxYS8yV6piEw0rpllgwdR1Q&#10;TXpAb0UwDcN50CtNO61KZgzs3o2HeOnxq4qV9mNVGWaRyDHEZv1X++/OfYPlDclqTbqGl8cwyD9E&#10;0RIu4dEz1B2xBO01fwHV8lIroyp7Vao2UFXFS+Y5AJsofMbmviEd81xAHNOdZTL/D7b8cPikEaeQ&#10;uwQjSVrI0QMbbMUERbAF+vSdycDtvgNHO6zVAL6eq+neqfKrQVIVDZE1W2mt+oYRCvFF7mZwcXXE&#10;MQ5k179XFN4he6s80FDp1okHciBAhzw9nnMDsaASNpN0MYtcjCWcJUmUjsEFJDvd7rSxb5hqkVvk&#10;WEPuPTo5vDPWRUOyk4t7zCjB6ZYL4Q1d7wqh0YFAnWz9zxN45iYk6oHbdBGGowJ/xIjXq6KY/w7D&#10;xXBHTDO+RWHlvEjWcgudIHib4zR0v3Hb6bmR1LtYwsW4Bi5CulvM1/hIEKzBwtLvg2y+/n6stkm4&#10;iGfpZLFIZpN4tgkn63RbTFZFNJ8vNutivYl+OjZRnDWcUiY3HtOc2iGK/67cjo05FvK5Ic4BuqjU&#10;HjjeN7RHlLsczZLraYTBgI50ojrWiIgaRklpNUZa2S/cNr4PXEU4DHOZqnTu/keZz+g+1xcPBy+4&#10;jR4DSAVKnlTz5eoqdKxVO+wGkN3V8E7RRyhcCMdXJ8w7WDRKf8eoh9mRY/NtTzTDSLyVUPzXURy7&#10;YeONOFlMwdCXJ7vLEyJLgMqxBep+WdhxQO07zesGXhrbTaoVNEzFfS0/RQUUnAHzwZM5zjI3gC5t&#10;7/U0cZe/AAAA//8DAFBLAwQUAAYACAAAACEAils8kt4AAAAJAQAADwAAAGRycy9kb3ducmV2Lnht&#10;bEyPzU7DMBCE75X6DtYicWudVKGQEKeqkLggDm1BiKMbb36EvY5it03fnuVUjjszmv2m3EzOijOO&#10;ofekIF0mIJBqb3pqFXx+vC6eQISoyWjrCRVcMcCmms9KXRh/oT2eD7EVXEKh0Aq6GIdCylB36HRY&#10;+gGJvcaPTkc+x1aaUV+43Fm5SpK1dLon/tDpAV86rH8OJ6dgfx3eevxOs7xuvnZ2vfPvscmUur+b&#10;ts8gIk7xFoY/fEaHipmO/kQmCKtgkXKQ5TR5AMF+vsp4ypGV/DEDWZXy/4LqFwAA//8DAFBLAQIt&#10;ABQABgAIAAAAIQC2gziS/gAAAOEBAAATAAAAAAAAAAAAAAAAAAAAAABbQ29udGVudF9UeXBlc10u&#10;eG1sUEsBAi0AFAAGAAgAAAAhADj9If/WAAAAlAEAAAsAAAAAAAAAAAAAAAAALwEAAF9yZWxzLy5y&#10;ZWxzUEsBAi0AFAAGAAgAAAAhABhubDnSAgAAuQUAAA4AAAAAAAAAAAAAAAAALgIAAGRycy9lMm9E&#10;b2MueG1sUEsBAi0AFAAGAAgAAAAhAIpbPJLeAAAACQEAAA8AAAAAAAAAAAAAAAAALAUAAGRycy9k&#10;b3ducmV2LnhtbFBLBQYAAAAABAAEAPMAAAA3BgAAAAA=&#10;" strokecolor="#4bacc6" strokeweight="1pt">
                <v:stroke dashstyle="dash"/>
                <v:shadow color="#868686"/>
                <v:textbox>
                  <w:txbxContent>
                    <w:p w:rsidR="002B1F54" w:rsidRDefault="002B1F54" w:rsidP="002B1F54">
                      <w:pPr>
                        <w:rPr>
                          <w:color w:val="auto"/>
                        </w:rPr>
                      </w:pPr>
                      <w:r>
                        <w:rPr>
                          <w:color w:val="auto"/>
                        </w:rPr>
                        <w:t>In diesem Versuch wird gezeigt, dass Tinte nicht in Fetten, dafür in Wasser löslich ist. Die Sch</w:t>
                      </w:r>
                      <w:r>
                        <w:rPr>
                          <w:color w:val="auto"/>
                        </w:rPr>
                        <w:t>ü</w:t>
                      </w:r>
                      <w:r>
                        <w:rPr>
                          <w:color w:val="auto"/>
                        </w:rPr>
                        <w:t xml:space="preserve">lerinnen und Schüler müssen  wissen, dass sich Fett und Wasser nicht lösen. </w:t>
                      </w:r>
                    </w:p>
                  </w:txbxContent>
                </v:textbox>
                <w10:wrap type="square"/>
              </v:shape>
            </w:pict>
          </mc:Fallback>
        </mc:AlternateContent>
      </w:r>
      <w:r>
        <w:t>V 3 – Tintenspinne</w:t>
      </w:r>
      <w:bookmarkEnd w:id="0"/>
    </w:p>
    <w:p w:rsidR="002B1F54" w:rsidRDefault="002B1F54" w:rsidP="002B1F54">
      <w:pPr>
        <w:rPr>
          <w:color w:val="auto"/>
          <w:sz w:val="16"/>
          <w:szCs w:val="16"/>
        </w:rPr>
      </w:pPr>
    </w:p>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2B1F54" w:rsidTr="002B1F54">
        <w:tc>
          <w:tcPr>
            <w:tcW w:w="6487" w:type="dxa"/>
            <w:gridSpan w:val="3"/>
            <w:tcBorders>
              <w:top w:val="single" w:sz="8" w:space="0" w:color="4F81BD"/>
              <w:left w:val="nil"/>
              <w:bottom w:val="single" w:sz="8" w:space="0" w:color="4F81BD"/>
              <w:right w:val="nil"/>
            </w:tcBorders>
            <w:vAlign w:val="center"/>
            <w:hideMark/>
          </w:tcPr>
          <w:p w:rsidR="002B1F54" w:rsidRDefault="002B1F54">
            <w:pPr>
              <w:spacing w:after="0"/>
              <w:jc w:val="center"/>
              <w:rPr>
                <w:b/>
                <w:bCs/>
                <w:color w:val="auto"/>
                <w:sz w:val="20"/>
              </w:rPr>
            </w:pPr>
            <w:r>
              <w:rPr>
                <w:b/>
                <w:bCs/>
                <w:color w:val="auto"/>
                <w:sz w:val="20"/>
              </w:rPr>
              <w:t>Gefahrenstoffe</w:t>
            </w:r>
          </w:p>
        </w:tc>
        <w:tc>
          <w:tcPr>
            <w:tcW w:w="3284" w:type="dxa"/>
            <w:vMerge w:val="restart"/>
            <w:tcBorders>
              <w:top w:val="nil"/>
              <w:left w:val="nil"/>
              <w:bottom w:val="nil"/>
              <w:right w:val="nil"/>
            </w:tcBorders>
          </w:tcPr>
          <w:p w:rsidR="002B1F54" w:rsidRDefault="002B1F54">
            <w:pPr>
              <w:spacing w:after="0"/>
              <w:rPr>
                <w:b/>
                <w:bCs/>
                <w:noProof/>
                <w:color w:val="auto"/>
                <w:lang w:eastAsia="de-DE"/>
              </w:rPr>
            </w:pPr>
          </w:p>
        </w:tc>
      </w:tr>
      <w:tr w:rsidR="002B1F54" w:rsidTr="002B1F54">
        <w:trPr>
          <w:trHeight w:val="648"/>
        </w:trPr>
        <w:tc>
          <w:tcPr>
            <w:tcW w:w="2259" w:type="dxa"/>
            <w:tcBorders>
              <w:top w:val="nil"/>
              <w:left w:val="nil"/>
              <w:bottom w:val="nil"/>
              <w:right w:val="nil"/>
            </w:tcBorders>
            <w:shd w:val="clear" w:color="auto" w:fill="D3DFEE"/>
            <w:vAlign w:val="center"/>
            <w:hideMark/>
          </w:tcPr>
          <w:p w:rsidR="002B1F54" w:rsidRDefault="002B1F54">
            <w:pPr>
              <w:spacing w:after="0" w:line="276" w:lineRule="auto"/>
              <w:ind w:right="-180"/>
              <w:jc w:val="center"/>
              <w:rPr>
                <w:bCs/>
                <w:color w:val="auto"/>
                <w:sz w:val="20"/>
              </w:rPr>
            </w:pPr>
            <w:r>
              <w:rPr>
                <w:bCs/>
                <w:color w:val="auto"/>
                <w:sz w:val="20"/>
              </w:rPr>
              <w:t>-</w:t>
            </w:r>
          </w:p>
        </w:tc>
        <w:tc>
          <w:tcPr>
            <w:tcW w:w="1677" w:type="dxa"/>
            <w:tcBorders>
              <w:top w:val="nil"/>
              <w:left w:val="nil"/>
              <w:bottom w:val="nil"/>
              <w:right w:val="nil"/>
            </w:tcBorders>
            <w:shd w:val="clear" w:color="auto" w:fill="D3DFEE"/>
            <w:vAlign w:val="center"/>
            <w:hideMark/>
          </w:tcPr>
          <w:p w:rsidR="002B1F54" w:rsidRDefault="002B1F54">
            <w:pPr>
              <w:spacing w:after="0" w:line="276" w:lineRule="auto"/>
              <w:jc w:val="center"/>
              <w:rPr>
                <w:color w:val="auto"/>
                <w:sz w:val="20"/>
              </w:rPr>
            </w:pPr>
            <w:r>
              <w:rPr>
                <w:color w:val="auto"/>
                <w:sz w:val="20"/>
              </w:rPr>
              <w:t>H: -</w:t>
            </w:r>
          </w:p>
        </w:tc>
        <w:tc>
          <w:tcPr>
            <w:tcW w:w="2551" w:type="dxa"/>
            <w:tcBorders>
              <w:top w:val="nil"/>
              <w:left w:val="nil"/>
              <w:bottom w:val="nil"/>
              <w:right w:val="nil"/>
            </w:tcBorders>
            <w:shd w:val="clear" w:color="auto" w:fill="D3DFEE"/>
            <w:vAlign w:val="center"/>
            <w:hideMark/>
          </w:tcPr>
          <w:p w:rsidR="002B1F54" w:rsidRDefault="002B1F54">
            <w:pPr>
              <w:spacing w:after="0" w:line="276" w:lineRule="auto"/>
              <w:jc w:val="center"/>
              <w:rPr>
                <w:color w:val="auto"/>
                <w:sz w:val="20"/>
              </w:rPr>
            </w:pPr>
            <w:r>
              <w:rPr>
                <w:color w:val="auto"/>
                <w:sz w:val="20"/>
              </w:rPr>
              <w:t>P: -</w:t>
            </w:r>
          </w:p>
        </w:tc>
        <w:tc>
          <w:tcPr>
            <w:tcW w:w="0" w:type="auto"/>
            <w:vMerge/>
            <w:tcBorders>
              <w:top w:val="nil"/>
              <w:left w:val="nil"/>
              <w:bottom w:val="nil"/>
              <w:right w:val="nil"/>
            </w:tcBorders>
            <w:vAlign w:val="center"/>
            <w:hideMark/>
          </w:tcPr>
          <w:p w:rsidR="002B1F54" w:rsidRDefault="002B1F54">
            <w:pPr>
              <w:spacing w:after="0" w:line="240" w:lineRule="auto"/>
              <w:jc w:val="left"/>
              <w:rPr>
                <w:b/>
                <w:bCs/>
                <w:noProof/>
                <w:color w:val="auto"/>
                <w:lang w:eastAsia="de-DE"/>
              </w:rPr>
            </w:pPr>
          </w:p>
        </w:tc>
      </w:tr>
      <w:tr w:rsidR="002B1F54" w:rsidTr="002B1F54">
        <w:tc>
          <w:tcPr>
            <w:tcW w:w="2259" w:type="dxa"/>
            <w:tcBorders>
              <w:top w:val="nil"/>
              <w:left w:val="nil"/>
              <w:bottom w:val="single" w:sz="8" w:space="0" w:color="4F81BD"/>
              <w:right w:val="nil"/>
            </w:tcBorders>
            <w:vAlign w:val="center"/>
          </w:tcPr>
          <w:p w:rsidR="002B1F54" w:rsidRDefault="002B1F54">
            <w:pPr>
              <w:spacing w:after="0" w:line="276" w:lineRule="auto"/>
              <w:ind w:right="-180"/>
              <w:jc w:val="center"/>
              <w:rPr>
                <w:bCs/>
                <w:color w:val="auto"/>
                <w:sz w:val="20"/>
                <w:szCs w:val="20"/>
              </w:rPr>
            </w:pPr>
          </w:p>
        </w:tc>
        <w:tc>
          <w:tcPr>
            <w:tcW w:w="1677" w:type="dxa"/>
            <w:tcBorders>
              <w:top w:val="nil"/>
              <w:left w:val="nil"/>
              <w:bottom w:val="single" w:sz="8" w:space="0" w:color="4F81BD"/>
              <w:right w:val="nil"/>
            </w:tcBorders>
            <w:vAlign w:val="center"/>
          </w:tcPr>
          <w:p w:rsidR="002B1F54" w:rsidRDefault="002B1F54">
            <w:pPr>
              <w:spacing w:after="0" w:line="276" w:lineRule="auto"/>
              <w:ind w:hanging="44"/>
              <w:jc w:val="center"/>
              <w:rPr>
                <w:color w:val="auto"/>
                <w:sz w:val="20"/>
                <w:szCs w:val="20"/>
              </w:rPr>
            </w:pPr>
          </w:p>
        </w:tc>
        <w:tc>
          <w:tcPr>
            <w:tcW w:w="2551" w:type="dxa"/>
            <w:tcBorders>
              <w:top w:val="nil"/>
              <w:left w:val="nil"/>
              <w:bottom w:val="single" w:sz="8" w:space="0" w:color="4F81BD"/>
              <w:right w:val="nil"/>
            </w:tcBorders>
            <w:vAlign w:val="center"/>
          </w:tcPr>
          <w:p w:rsidR="002B1F54" w:rsidRDefault="002B1F54">
            <w:pPr>
              <w:spacing w:after="0" w:line="276" w:lineRule="auto"/>
              <w:ind w:hanging="44"/>
              <w:jc w:val="center"/>
              <w:rPr>
                <w:color w:val="auto"/>
                <w:sz w:val="20"/>
                <w:szCs w:val="20"/>
              </w:rPr>
            </w:pPr>
          </w:p>
        </w:tc>
        <w:tc>
          <w:tcPr>
            <w:tcW w:w="0" w:type="auto"/>
            <w:vMerge/>
            <w:tcBorders>
              <w:top w:val="nil"/>
              <w:left w:val="nil"/>
              <w:bottom w:val="nil"/>
              <w:right w:val="nil"/>
            </w:tcBorders>
            <w:vAlign w:val="center"/>
            <w:hideMark/>
          </w:tcPr>
          <w:p w:rsidR="002B1F54" w:rsidRDefault="002B1F54">
            <w:pPr>
              <w:spacing w:after="0" w:line="240" w:lineRule="auto"/>
              <w:jc w:val="left"/>
              <w:rPr>
                <w:b/>
                <w:bCs/>
                <w:noProof/>
                <w:color w:val="auto"/>
                <w:lang w:eastAsia="de-DE"/>
              </w:rPr>
            </w:pPr>
          </w:p>
        </w:tc>
      </w:tr>
    </w:tbl>
    <w:p w:rsidR="002B1F54" w:rsidRDefault="002B1F54" w:rsidP="002B1F54">
      <w:pPr>
        <w:tabs>
          <w:tab w:val="left" w:pos="1701"/>
          <w:tab w:val="left" w:pos="1985"/>
        </w:tabs>
        <w:ind w:left="1980" w:hanging="1980"/>
        <w:rPr>
          <w:color w:val="auto"/>
        </w:rPr>
      </w:pPr>
    </w:p>
    <w:p w:rsidR="002B1F54" w:rsidRDefault="002B1F54" w:rsidP="002B1F54">
      <w:pPr>
        <w:tabs>
          <w:tab w:val="left" w:pos="1701"/>
          <w:tab w:val="left" w:pos="1985"/>
        </w:tabs>
        <w:ind w:left="1980" w:hanging="1980"/>
        <w:rPr>
          <w:color w:val="auto"/>
        </w:rPr>
      </w:pPr>
      <w:r>
        <w:rPr>
          <w:color w:val="auto"/>
        </w:rPr>
        <w:t xml:space="preserve">Materialien: </w:t>
      </w:r>
      <w:r>
        <w:rPr>
          <w:color w:val="auto"/>
        </w:rPr>
        <w:tab/>
      </w:r>
      <w:r>
        <w:rPr>
          <w:color w:val="auto"/>
        </w:rPr>
        <w:tab/>
        <w:t>Becherglas, Pipette, kleiner Erlenmeyerkolben</w:t>
      </w:r>
    </w:p>
    <w:p w:rsidR="002B1F54" w:rsidRDefault="002B1F54" w:rsidP="002B1F54">
      <w:pPr>
        <w:tabs>
          <w:tab w:val="left" w:pos="1701"/>
          <w:tab w:val="left" w:pos="1985"/>
        </w:tabs>
        <w:ind w:left="1980" w:hanging="1980"/>
        <w:rPr>
          <w:color w:val="auto"/>
        </w:rPr>
      </w:pPr>
      <w:r>
        <w:rPr>
          <w:color w:val="auto"/>
        </w:rPr>
        <w:t>Chemikalien:</w:t>
      </w:r>
      <w:r>
        <w:rPr>
          <w:color w:val="auto"/>
        </w:rPr>
        <w:tab/>
      </w:r>
      <w:r>
        <w:rPr>
          <w:color w:val="auto"/>
        </w:rPr>
        <w:tab/>
        <w:t>Wasser, Öl, Tinte</w:t>
      </w:r>
    </w:p>
    <w:p w:rsidR="002B1F54" w:rsidRDefault="002B1F54" w:rsidP="002B1F54">
      <w:pPr>
        <w:tabs>
          <w:tab w:val="left" w:pos="1701"/>
          <w:tab w:val="left" w:pos="1985"/>
        </w:tabs>
        <w:ind w:left="1980" w:hanging="1980"/>
        <w:rPr>
          <w:color w:val="auto"/>
        </w:rPr>
      </w:pPr>
      <w:r>
        <w:rPr>
          <w:color w:val="auto"/>
        </w:rPr>
        <w:t xml:space="preserve">Durchführung: </w:t>
      </w:r>
      <w:r>
        <w:rPr>
          <w:color w:val="auto"/>
        </w:rPr>
        <w:tab/>
      </w:r>
      <w:r>
        <w:rPr>
          <w:color w:val="auto"/>
        </w:rPr>
        <w:tab/>
        <w:t xml:space="preserve">Das Becherglas wird bis zu Hälfte mit Wasser befüllt. Dann wird etwas Öl hinzugegeben, sodass eine Schichtdicke von ungefähr 2-3 cm entsteht.  Die Tinte wird in einen kleinen Erlenmeyerkolben gefüllt und mittels Pipette einige größere Tropfen auf die obere Ölschicht aufgetragen. </w:t>
      </w:r>
    </w:p>
    <w:p w:rsidR="002B1F54" w:rsidRDefault="002B1F54" w:rsidP="002B1F54">
      <w:pPr>
        <w:tabs>
          <w:tab w:val="left" w:pos="1701"/>
          <w:tab w:val="left" w:pos="1985"/>
        </w:tabs>
        <w:ind w:left="1980" w:hanging="1980"/>
        <w:rPr>
          <w:color w:val="auto"/>
        </w:rPr>
      </w:pPr>
      <w:r>
        <w:rPr>
          <w:color w:val="auto"/>
        </w:rPr>
        <w:t>Beobachtung:</w:t>
      </w:r>
      <w:r>
        <w:rPr>
          <w:color w:val="auto"/>
        </w:rPr>
        <w:tab/>
      </w:r>
      <w:r>
        <w:rPr>
          <w:color w:val="auto"/>
        </w:rPr>
        <w:tab/>
        <w:t>Es entstehen zwei Phasen, bei der sich Wasser unten und das Öl oben b</w:t>
      </w:r>
      <w:r>
        <w:rPr>
          <w:color w:val="auto"/>
        </w:rPr>
        <w:t>e</w:t>
      </w:r>
      <w:r>
        <w:rPr>
          <w:color w:val="auto"/>
        </w:rPr>
        <w:t>findet. Die Tintentropfen sinken kugelförmig  durch die Ölschicht und ble</w:t>
      </w:r>
      <w:r>
        <w:rPr>
          <w:color w:val="auto"/>
        </w:rPr>
        <w:t>i</w:t>
      </w:r>
      <w:r>
        <w:rPr>
          <w:color w:val="auto"/>
        </w:rPr>
        <w:t xml:space="preserve">ben auf der Trennschicht liegen. Nach einiger Zeit (ca. eine Minute) platzen die Tintenkugeln auf und ergießen sich in das Wasser. </w:t>
      </w:r>
    </w:p>
    <w:p w:rsidR="002B1F54" w:rsidRDefault="002B1F54" w:rsidP="002B1F54">
      <w:pPr>
        <w:keepNext/>
        <w:tabs>
          <w:tab w:val="left" w:pos="1701"/>
          <w:tab w:val="left" w:pos="1985"/>
        </w:tabs>
        <w:ind w:left="1980" w:hanging="1980"/>
        <w:jc w:val="center"/>
        <w:rPr>
          <w:color w:val="auto"/>
        </w:rPr>
      </w:pPr>
      <w:r>
        <w:rPr>
          <w:noProof/>
          <w:color w:val="auto"/>
          <w:lang w:eastAsia="de-DE"/>
        </w:rPr>
        <w:drawing>
          <wp:inline distT="0" distB="0" distL="0" distR="0">
            <wp:extent cx="1593189" cy="2389517"/>
            <wp:effectExtent l="0" t="0" r="7620" b="0"/>
            <wp:docPr id="13" name="Grafik 13" descr="Tintenspin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ntenspinn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360" cy="2389774"/>
                    </a:xfrm>
                    <a:prstGeom prst="rect">
                      <a:avLst/>
                    </a:prstGeom>
                    <a:noFill/>
                    <a:ln>
                      <a:noFill/>
                    </a:ln>
                  </pic:spPr>
                </pic:pic>
              </a:graphicData>
            </a:graphic>
          </wp:inline>
        </w:drawing>
      </w:r>
    </w:p>
    <w:p w:rsidR="002B1F54" w:rsidRDefault="002B1F54" w:rsidP="002B1F54">
      <w:pPr>
        <w:pStyle w:val="Beschriftung"/>
        <w:jc w:val="center"/>
        <w:rPr>
          <w:color w:val="auto"/>
        </w:rPr>
      </w:pPr>
      <w:r>
        <w:t xml:space="preserve">Abb. 3 - </w:t>
      </w:r>
      <w:r>
        <w:rPr>
          <w:noProof/>
        </w:rPr>
        <w:t xml:space="preserve"> Die Tintenkügelchen pratzen an der Grenzschicht auf und lösen sich im Wasser.</w:t>
      </w:r>
    </w:p>
    <w:p w:rsidR="002B1F54" w:rsidRDefault="002B1F54" w:rsidP="002B1F54">
      <w:pPr>
        <w:tabs>
          <w:tab w:val="left" w:pos="1701"/>
          <w:tab w:val="left" w:pos="1985"/>
        </w:tabs>
        <w:ind w:left="1980" w:hanging="1980"/>
        <w:rPr>
          <w:color w:val="auto"/>
        </w:rPr>
      </w:pPr>
      <w:r>
        <w:rPr>
          <w:color w:val="auto"/>
        </w:rPr>
        <w:lastRenderedPageBreak/>
        <w:t>Deutung:</w:t>
      </w:r>
      <w:r>
        <w:rPr>
          <w:color w:val="auto"/>
        </w:rPr>
        <w:tab/>
      </w:r>
      <w:r>
        <w:rPr>
          <w:color w:val="auto"/>
        </w:rPr>
        <w:tab/>
        <w:t xml:space="preserve">Tinte ist nicht fettlöslich, wodurch sich kleine Tintenkügelchen bilden. Da Tinte schwerer als Öl ist, sinkt die Tinte ab. In der Trennschicht platzen dann die Tintenkügelchen auf, da Tinte wasserlöslich ist. </w:t>
      </w:r>
    </w:p>
    <w:p w:rsidR="002B1F54" w:rsidRDefault="002B1F54" w:rsidP="002B1F54">
      <w:pPr>
        <w:pStyle w:val="Literaturverzeichnis"/>
        <w:ind w:left="1980" w:hanging="1980"/>
        <w:rPr>
          <w:noProof/>
          <w:color w:val="auto"/>
        </w:rPr>
      </w:pPr>
      <w:r>
        <w:rPr>
          <w:color w:val="auto"/>
        </w:rPr>
        <w:t>Literatur:</w:t>
      </w:r>
      <w:r>
        <w:rPr>
          <w:color w:val="auto"/>
        </w:rPr>
        <w:tab/>
      </w:r>
      <w:r>
        <w:rPr>
          <w:noProof/>
          <w:color w:val="auto"/>
        </w:rPr>
        <w:t xml:space="preserve">Sommer, S. (kein Datum). </w:t>
      </w:r>
      <w:r>
        <w:rPr>
          <w:i/>
          <w:iCs/>
          <w:noProof/>
          <w:color w:val="auto"/>
        </w:rPr>
        <w:t>netexperimente.de/sci2go/53.html.</w:t>
      </w:r>
      <w:r>
        <w:rPr>
          <w:noProof/>
          <w:color w:val="auto"/>
        </w:rPr>
        <w:t xml:space="preserve"> (Zuletzt abgerufen am 27.09.2012 um 20:23).</w:t>
      </w:r>
    </w:p>
    <w:p w:rsidR="002B1F54" w:rsidRDefault="002B1F54" w:rsidP="002B1F54">
      <w:pPr>
        <w:tabs>
          <w:tab w:val="left" w:pos="1701"/>
          <w:tab w:val="left" w:pos="1985"/>
        </w:tabs>
        <w:ind w:left="1980" w:hanging="1980"/>
        <w:rPr>
          <w:rFonts w:eastAsia="MS Mincho"/>
          <w:color w:val="auto"/>
        </w:rPr>
      </w:pPr>
      <w:bookmarkStart w:id="1" w:name="_GoBack"/>
      <w:bookmarkEnd w:id="1"/>
      <w:r>
        <w:rPr>
          <w:noProof/>
          <w:color w:val="auto"/>
          <w:lang w:eastAsia="de-DE"/>
        </w:rPr>
        <mc:AlternateContent>
          <mc:Choice Requires="wps">
            <w:drawing>
              <wp:inline distT="0" distB="0" distL="0" distR="0">
                <wp:extent cx="5873115" cy="1274445"/>
                <wp:effectExtent l="9525" t="9525" r="13335" b="11430"/>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7444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1F54" w:rsidRDefault="002B1F54" w:rsidP="002B1F54">
                            <w:pPr>
                              <w:rPr>
                                <w:color w:val="auto"/>
                              </w:rPr>
                            </w:pPr>
                            <w:r>
                              <w:rPr>
                                <w:b/>
                                <w:color w:val="auto"/>
                              </w:rPr>
                              <w:t xml:space="preserve">Anmerkungen </w:t>
                            </w:r>
                            <w:r>
                              <w:rPr>
                                <w:color w:val="auto"/>
                              </w:rPr>
                              <w:t>Bei diesem Versuch sollten die Schülerinnen und Schüler mit einer Pipette u</w:t>
                            </w:r>
                            <w:r>
                              <w:rPr>
                                <w:color w:val="auto"/>
                              </w:rPr>
                              <w:t>m</w:t>
                            </w:r>
                            <w:r>
                              <w:rPr>
                                <w:color w:val="auto"/>
                              </w:rPr>
                              <w:t xml:space="preserve">gehen können. Deswegen bietet es sich an, den Umgang mit einer Pipette mit den Schülerinnen und Schülern zu üben oder zu demonstrieren, damit später keine Tinte in das Pipettenhütchen gelangt. Zudem sollten die Schülerinnen und Schüler wissen, dass Wasser und Fette sich nicht lösen können.  </w:t>
                            </w:r>
                          </w:p>
                        </w:txbxContent>
                      </wps:txbx>
                      <wps:bodyPr rot="0" vert="horz" wrap="square" lIns="91440" tIns="45720" rIns="91440" bIns="45720" anchor="t" anchorCtr="0" upright="1">
                        <a:noAutofit/>
                      </wps:bodyPr>
                    </wps:wsp>
                  </a:graphicData>
                </a:graphic>
              </wp:inline>
            </w:drawing>
          </mc:Choice>
          <mc:Fallback>
            <w:pict>
              <v:shape id="Textfeld 14" o:spid="_x0000_s1027" type="#_x0000_t202" style="width:462.45pt;height:10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x0wIAAMEFAAAOAAAAZHJzL2Uyb0RvYy54bWysVNuK2zAQfS/0H4Tes7YTO86adZZcS6E3&#10;2C19Viw5FpUlV1Jib0v/vSMpm027LZRSG4RGGp2ZM7eb26EV6Mi04UqWOLmKMWKyUpTLfYk/3m9H&#10;M4yMJZISoSQr8QMz+Hb+8sVN3xVsrBolKNMIQKQp+q7EjbVdEUWmalhLzJXqmITLWumWWBD1PqKa&#10;9IDeimgcx9OoV5p2WlXMGDhdh0s89/h1zSr7vq4Ns0iUGHyzftV+3bk1mt+QYq9J1/Dq5Ab5By9a&#10;wiUYPUOtiSXooPkzqJZXWhlV26tKtZGqa14xzwHYJPEvbO4a0jHPBYJjunOYzP+Drd4dP2jEKeQu&#10;xUiSFnJ0zwZbM0ERHEF8+s4UoHbXgaIdlmoAXc/VdG9U9dkgqVYNkXu20Fr1DSMU/Evcy+jiacAx&#10;DmTXv1UU7JCDVR5oqHXrggfhQIAOeXo45wZ8QRUcZrN8kiQZRhXcJeM8TdPM2yDF4/NOG/uKqRa5&#10;TYk1JN/Dk+MbY507pHhUcdaMEpxuuRBe0PvdSmh0JFAoW/+d0H9SExL13nwchxD8EWMVZ3G6/h2G&#10;82FNTBNsUdg5LVK03EIrCN6WeBa7Lxy7gG4k9SqWcBH2wEVI94r5Ig8EQRosbP05xM0X4LfFNovz&#10;dDIb5Xk2GaWTTTxazrar0WKVTKf5ZrlabpLvjk2SFg2nlMmNxzSP/ZCkf1dvp84MlXzuiLODzit1&#10;AI53De0R5S5Hk+x6nGAQoCXHeWCNiNjDLKmsxkgr+4nbxjeCKwmHYS5TNZu6/xTmM7rP9YXh6Bm3&#10;oDFAqCCSj1Hz9epKNBSrHXZDaA2H72p5p+gDFDB45asU5h5sGqW/YtTDDCmx+XIgmmEkXktogusk&#10;Td3Q8UKa5WMQ9OXN7vKGyAqgSmwxCtuVDYPq0Gm+b8BSaDupFtA4Nfcl/eQVMHECzAnP6TTT3CC6&#10;lL3W0+Sd/wAAAP//AwBQSwMEFAAGAAgAAAAhAHiJqVDcAAAABQEAAA8AAABkcnMvZG93bnJldi54&#10;bWxMj81OwzAQhO9IvIO1SNyoQyg/DXEqBOIGRZQicXTibRLVXke224S3Z8sFLiOtZjXzTbmcnBUH&#10;DLH3pOByloFAarzpqVWw+Xi+uAMRkyajrSdU8I0RltXpSakL40d6x8M6tYJDKBZaQZfSUEgZmw6d&#10;jjM/ILG39cHpxGdopQl65HBnZZ5lN9Lpnrih0wM+dtjs1nunYF7bz/j69nXVbManl9U2D7vrVa3U&#10;+dn0cA8i4ZT+nuGIz+hQMVPt92SisAp4SPpV9hb5fAGiVsCVtyCrUv6nr34AAAD//wMAUEsBAi0A&#10;FAAGAAgAAAAhALaDOJL+AAAA4QEAABMAAAAAAAAAAAAAAAAAAAAAAFtDb250ZW50X1R5cGVzXS54&#10;bWxQSwECLQAUAAYACAAAACEAOP0h/9YAAACUAQAACwAAAAAAAAAAAAAAAAAvAQAAX3JlbHMvLnJl&#10;bHNQSwECLQAUAAYACAAAACEAkbPmsdMCAADBBQAADgAAAAAAAAAAAAAAAAAuAgAAZHJzL2Uyb0Rv&#10;Yy54bWxQSwECLQAUAAYACAAAACEAeImpUNwAAAAFAQAADwAAAAAAAAAAAAAAAAAtBQAAZHJzL2Rv&#10;d25yZXYueG1sUEsFBgAAAAAEAAQA8wAAADYGAAAAAA==&#10;" strokecolor="#c0504d" strokeweight="1pt">
                <v:stroke dashstyle="dash"/>
                <v:shadow color="#868686"/>
                <v:textbox>
                  <w:txbxContent>
                    <w:p w:rsidR="002B1F54" w:rsidRDefault="002B1F54" w:rsidP="002B1F54">
                      <w:pPr>
                        <w:rPr>
                          <w:color w:val="auto"/>
                        </w:rPr>
                      </w:pPr>
                      <w:r>
                        <w:rPr>
                          <w:b/>
                          <w:color w:val="auto"/>
                        </w:rPr>
                        <w:t xml:space="preserve">Anmerkungen </w:t>
                      </w:r>
                      <w:r>
                        <w:rPr>
                          <w:color w:val="auto"/>
                        </w:rPr>
                        <w:t>Bei diesem Versuch sollten die Schülerinnen und Schüler mit einer Pipette u</w:t>
                      </w:r>
                      <w:r>
                        <w:rPr>
                          <w:color w:val="auto"/>
                        </w:rPr>
                        <w:t>m</w:t>
                      </w:r>
                      <w:r>
                        <w:rPr>
                          <w:color w:val="auto"/>
                        </w:rPr>
                        <w:t xml:space="preserve">gehen können. Deswegen bietet es sich an, den Umgang mit einer Pipette mit den Schülerinnen und Schülern zu üben oder zu demonstrieren, damit später keine Tinte in das Pipettenhütchen gelangt. Zudem sollten die Schülerinnen und Schüler wissen, dass Wasser und Fette sich nicht lösen können.  </w:t>
                      </w:r>
                    </w:p>
                  </w:txbxContent>
                </v:textbox>
                <w10:anchorlock/>
              </v:shape>
            </w:pict>
          </mc:Fallback>
        </mc:AlternateContent>
      </w:r>
    </w:p>
    <w:p w:rsidR="00BE6DD9" w:rsidRPr="002B1F54" w:rsidRDefault="00BE6DD9" w:rsidP="002B1F54"/>
    <w:sectPr w:rsidR="00BE6DD9" w:rsidRPr="002B1F54"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401" w:rsidRDefault="00132401" w:rsidP="009524CC">
      <w:pPr>
        <w:spacing w:after="0"/>
      </w:pPr>
      <w:r>
        <w:separator/>
      </w:r>
    </w:p>
  </w:endnote>
  <w:endnote w:type="continuationSeparator" w:id="0">
    <w:p w:rsidR="00132401" w:rsidRDefault="00132401"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401" w:rsidRDefault="00132401" w:rsidP="009524CC">
      <w:pPr>
        <w:spacing w:after="0"/>
      </w:pPr>
      <w:r>
        <w:separator/>
      </w:r>
    </w:p>
  </w:footnote>
  <w:footnote w:type="continuationSeparator" w:id="0">
    <w:p w:rsidR="00132401" w:rsidRDefault="00132401"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2B1F54" w:rsidRPr="002B1F54">
            <w:rPr>
              <w:b/>
              <w:bCs/>
              <w:noProof/>
              <w:sz w:val="20"/>
              <w:szCs w:val="20"/>
            </w:rPr>
            <w:t>V 3 – Tintenspinne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2B1F54">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401"/>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1F54"/>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56732"/>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B2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5303"/>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9832">
      <w:bodyDiv w:val="1"/>
      <w:marLeft w:val="0"/>
      <w:marRight w:val="0"/>
      <w:marTop w:val="0"/>
      <w:marBottom w:val="0"/>
      <w:divBdr>
        <w:top w:val="none" w:sz="0" w:space="0" w:color="auto"/>
        <w:left w:val="none" w:sz="0" w:space="0" w:color="auto"/>
        <w:bottom w:val="none" w:sz="0" w:space="0" w:color="auto"/>
        <w:right w:val="none" w:sz="0" w:space="0" w:color="auto"/>
      </w:divBdr>
    </w:div>
    <w:div w:id="488637999">
      <w:bodyDiv w:val="1"/>
      <w:marLeft w:val="0"/>
      <w:marRight w:val="0"/>
      <w:marTop w:val="0"/>
      <w:marBottom w:val="0"/>
      <w:divBdr>
        <w:top w:val="none" w:sz="0" w:space="0" w:color="auto"/>
        <w:left w:val="none" w:sz="0" w:space="0" w:color="auto"/>
        <w:bottom w:val="none" w:sz="0" w:space="0" w:color="auto"/>
        <w:right w:val="none" w:sz="0" w:space="0" w:color="auto"/>
      </w:divBdr>
    </w:div>
    <w:div w:id="792016446">
      <w:bodyDiv w:val="1"/>
      <w:marLeft w:val="0"/>
      <w:marRight w:val="0"/>
      <w:marTop w:val="0"/>
      <w:marBottom w:val="0"/>
      <w:divBdr>
        <w:top w:val="none" w:sz="0" w:space="0" w:color="auto"/>
        <w:left w:val="none" w:sz="0" w:space="0" w:color="auto"/>
        <w:bottom w:val="none" w:sz="0" w:space="0" w:color="auto"/>
        <w:right w:val="none" w:sz="0" w:space="0" w:color="auto"/>
      </w:divBdr>
    </w:div>
    <w:div w:id="836651140">
      <w:bodyDiv w:val="1"/>
      <w:marLeft w:val="0"/>
      <w:marRight w:val="0"/>
      <w:marTop w:val="0"/>
      <w:marBottom w:val="0"/>
      <w:divBdr>
        <w:top w:val="none" w:sz="0" w:space="0" w:color="auto"/>
        <w:left w:val="none" w:sz="0" w:space="0" w:color="auto"/>
        <w:bottom w:val="none" w:sz="0" w:space="0" w:color="auto"/>
        <w:right w:val="none" w:sz="0" w:space="0" w:color="auto"/>
      </w:divBdr>
    </w:div>
    <w:div w:id="97251815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EB44B-A331-4389-845A-7C9A1AA5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159</Words>
  <Characters>1006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2013-07-02T12:49:00Z</dcterms:created>
  <dcterms:modified xsi:type="dcterms:W3CDTF">2013-07-02T12:49:00Z</dcterms:modified>
</cp:coreProperties>
</file>