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B5" w:rsidRPr="00A067B5" w:rsidRDefault="00FC63F8" w:rsidP="00EB75BB">
      <w:pPr>
        <w:pStyle w:val="berschrift1"/>
        <w:numPr>
          <w:ilvl w:val="0"/>
          <w:numId w:val="0"/>
        </w:numPr>
        <w:ind w:left="432" w:hanging="432"/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68.85pt;width:462.45pt;height:82.8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A067B5" w:rsidRPr="001558A2" w:rsidRDefault="00A067B5" w:rsidP="00A067B5">
                  <w:pPr>
                    <w:rPr>
                      <w:color w:val="auto"/>
                    </w:rPr>
                  </w:pPr>
                  <w:r w:rsidRPr="001558A2">
                    <w:rPr>
                      <w:color w:val="auto"/>
                    </w:rPr>
                    <w:t xml:space="preserve">Steinsalz dürfte nicht in jeder Schule vorhanden sein. Alternativ kann ein Kochsalz-Kiesel-Gemisch selbst hergestellt werden, um den Unterschied des </w:t>
                  </w:r>
                  <w:proofErr w:type="spellStart"/>
                  <w:r w:rsidRPr="001558A2">
                    <w:rPr>
                      <w:color w:val="auto"/>
                    </w:rPr>
                    <w:t>ungereinigten</w:t>
                  </w:r>
                  <w:proofErr w:type="spellEnd"/>
                  <w:r w:rsidRPr="001558A2">
                    <w:rPr>
                      <w:color w:val="auto"/>
                    </w:rPr>
                    <w:t xml:space="preserve"> und gereinigten Salzes zu verdeutlichen. Die </w:t>
                  </w:r>
                  <w:proofErr w:type="spellStart"/>
                  <w:r w:rsidRPr="001558A2">
                    <w:rPr>
                      <w:color w:val="auto"/>
                    </w:rPr>
                    <w:t>SuS</w:t>
                  </w:r>
                  <w:proofErr w:type="spellEnd"/>
                  <w:r w:rsidRPr="001558A2">
                    <w:rPr>
                      <w:color w:val="auto"/>
                    </w:rPr>
                    <w:t xml:space="preserve"> benötigen darüber hinaus Vorkenntnisse zu den Trennverfahren, die in diesem Experiment Anwendung finden.</w:t>
                  </w:r>
                </w:p>
              </w:txbxContent>
            </v:textbox>
            <w10:wrap type="square"/>
          </v:shape>
        </w:pict>
      </w:r>
      <w:bookmarkStart w:id="0" w:name="_Toc362846714"/>
      <w:r w:rsidR="00A067B5" w:rsidRPr="00A067B5">
        <w:rPr>
          <w:sz w:val="40"/>
          <w:szCs w:val="40"/>
          <w:u w:val="single"/>
        </w:rPr>
        <w:t>V 3 - Vom Steinsalz zum Kochsalz</w:t>
      </w:r>
      <w:bookmarkEnd w:id="0"/>
    </w:p>
    <w:p w:rsidR="00A067B5" w:rsidRDefault="00A067B5" w:rsidP="00A067B5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067B5" w:rsidRPr="009C5E28" w:rsidTr="00116CCC">
        <w:tc>
          <w:tcPr>
            <w:tcW w:w="9322" w:type="dxa"/>
            <w:gridSpan w:val="9"/>
            <w:shd w:val="clear" w:color="auto" w:fill="4F81BD"/>
            <w:vAlign w:val="center"/>
          </w:tcPr>
          <w:p w:rsidR="00A067B5" w:rsidRPr="009C5E28" w:rsidRDefault="00A067B5" w:rsidP="00116CCC">
            <w:pPr>
              <w:spacing w:after="0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067B5" w:rsidRPr="009C5E28" w:rsidTr="00116CC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  <w:rPr>
                <w:b/>
                <w:bCs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sz w:val="20"/>
              </w:rPr>
              <w:t>/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67B5" w:rsidRPr="00655494" w:rsidRDefault="00A067B5" w:rsidP="00116CCC">
            <w:pPr>
              <w:spacing w:after="0"/>
              <w:rPr>
                <w:rFonts w:asciiTheme="majorHAnsi" w:hAnsiTheme="majorHAnsi"/>
              </w:rPr>
            </w:pPr>
            <w:r>
              <w:t>/</w:t>
            </w:r>
          </w:p>
        </w:tc>
      </w:tr>
      <w:tr w:rsidR="00A067B5" w:rsidRPr="009C5E28" w:rsidTr="00116CC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2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067B5" w:rsidRPr="009C5E28" w:rsidRDefault="00A067B5" w:rsidP="00116CCC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B5" w:rsidRDefault="00A067B5" w:rsidP="00A067B5">
      <w:pPr>
        <w:tabs>
          <w:tab w:val="left" w:pos="1701"/>
          <w:tab w:val="left" w:pos="1985"/>
        </w:tabs>
        <w:ind w:left="1980" w:hanging="1980"/>
      </w:pPr>
    </w:p>
    <w:p w:rsidR="00A067B5" w:rsidRPr="00A768C6" w:rsidRDefault="00A067B5" w:rsidP="00A067B5">
      <w:pPr>
        <w:pStyle w:val="Default"/>
        <w:spacing w:after="200" w:line="360" w:lineRule="auto"/>
        <w:ind w:left="1979" w:hanging="1979"/>
        <w:jc w:val="both"/>
        <w:rPr>
          <w:rFonts w:asciiTheme="majorHAnsi" w:hAnsiTheme="majorHAnsi" w:cs="Verdana"/>
          <w:sz w:val="22"/>
          <w:szCs w:val="22"/>
        </w:rPr>
      </w:pPr>
      <w:r w:rsidRPr="00A768C6">
        <w:rPr>
          <w:rFonts w:asciiTheme="majorHAnsi" w:hAnsiTheme="majorHAnsi"/>
          <w:sz w:val="22"/>
          <w:szCs w:val="22"/>
        </w:rPr>
        <w:t xml:space="preserve">Materialien: </w:t>
      </w:r>
      <w:r>
        <w:rPr>
          <w:rFonts w:asciiTheme="majorHAnsi" w:hAnsiTheme="majorHAnsi"/>
          <w:sz w:val="22"/>
          <w:szCs w:val="22"/>
        </w:rPr>
        <w:tab/>
        <w:t xml:space="preserve">Mörser und Pistill, Sieb, Messzylinder (50 mL), Trichter, Filterpapier, zwei Erlenmeyerkolben (100 mL), Stopfen, </w:t>
      </w:r>
      <w:proofErr w:type="spellStart"/>
      <w:r>
        <w:rPr>
          <w:rFonts w:asciiTheme="majorHAnsi" w:hAnsiTheme="majorHAnsi"/>
          <w:sz w:val="22"/>
          <w:szCs w:val="22"/>
        </w:rPr>
        <w:t>Messpipette</w:t>
      </w:r>
      <w:proofErr w:type="spellEnd"/>
      <w:r>
        <w:rPr>
          <w:rFonts w:asciiTheme="majorHAnsi" w:hAnsiTheme="majorHAnsi"/>
          <w:sz w:val="22"/>
          <w:szCs w:val="22"/>
        </w:rPr>
        <w:t xml:space="preserve"> (10 mL), Petrischale, Abdampfschale, Bunsenbrenner, Dreifuß </w:t>
      </w:r>
    </w:p>
    <w:p w:rsidR="00A067B5" w:rsidRPr="00A768C6" w:rsidRDefault="00A067B5" w:rsidP="00A067B5">
      <w:pPr>
        <w:pStyle w:val="Default"/>
        <w:spacing w:after="20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Chemikalien: </w:t>
      </w:r>
      <w:r>
        <w:rPr>
          <w:rFonts w:asciiTheme="majorHAnsi" w:hAnsiTheme="majorHAnsi"/>
          <w:sz w:val="22"/>
          <w:szCs w:val="22"/>
        </w:rPr>
        <w:tab/>
        <w:t xml:space="preserve">           </w:t>
      </w:r>
      <w:r>
        <w:rPr>
          <w:rFonts w:asciiTheme="majorHAnsi" w:hAnsiTheme="majorHAnsi" w:cs="Verdana"/>
          <w:sz w:val="22"/>
          <w:szCs w:val="22"/>
        </w:rPr>
        <w:t>Steinsalz, demineralisiertes Wasser</w:t>
      </w:r>
    </w:p>
    <w:p w:rsidR="00A067B5" w:rsidRPr="002202E9" w:rsidRDefault="00A067B5" w:rsidP="00A067B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202E9">
        <w:rPr>
          <w:color w:val="auto"/>
        </w:rPr>
        <w:t>Durchführung: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  <w:t xml:space="preserve">Das Steinsalz wird zunächst gemörsert, bis das Salz zu kleinen Körnern zermahlen wurde. Falls größere Steinstücke zurückbleiben, sollten diese </w:t>
      </w:r>
      <w:proofErr w:type="spellStart"/>
      <w:r>
        <w:rPr>
          <w:color w:val="auto"/>
        </w:rPr>
        <w:t>abgesiebt</w:t>
      </w:r>
      <w:proofErr w:type="spellEnd"/>
      <w:r>
        <w:rPr>
          <w:color w:val="auto"/>
        </w:rPr>
        <w:t xml:space="preserve"> werden. Das gesiebte und gemörserte Steinsalz wird nun mit 50 mL Wasser in einen Erlenmeyerkolben gegeben und gut durchgeschüttelt. Anschließend wird die Lösung in einem Trichter </w:t>
      </w:r>
      <w:proofErr w:type="spellStart"/>
      <w:r>
        <w:rPr>
          <w:color w:val="auto"/>
        </w:rPr>
        <w:t>abfiltriert</w:t>
      </w:r>
      <w:proofErr w:type="spellEnd"/>
      <w:r>
        <w:rPr>
          <w:color w:val="auto"/>
        </w:rPr>
        <w:t xml:space="preserve">. Von dem Filtrat werden 5 mL mit einer </w:t>
      </w:r>
      <w:proofErr w:type="spellStart"/>
      <w:r>
        <w:rPr>
          <w:color w:val="auto"/>
        </w:rPr>
        <w:t>Messpipette</w:t>
      </w:r>
      <w:proofErr w:type="spellEnd"/>
      <w:r>
        <w:rPr>
          <w:color w:val="auto"/>
        </w:rPr>
        <w:t xml:space="preserve"> in eine Petrischale gegeben und zum Trocknen stehen gelassen. Das übrige Filtrat wird in einer Abdampfschale eingedampft.  </w:t>
      </w:r>
    </w:p>
    <w:p w:rsidR="00A067B5" w:rsidRDefault="00A067B5" w:rsidP="00A067B5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202E9">
        <w:rPr>
          <w:color w:val="auto"/>
        </w:rPr>
        <w:t>Beobachtung</w:t>
      </w:r>
      <w:r>
        <w:rPr>
          <w:color w:val="auto"/>
        </w:rPr>
        <w:t xml:space="preserve">: </w:t>
      </w:r>
      <w:r>
        <w:rPr>
          <w:color w:val="auto"/>
        </w:rPr>
        <w:tab/>
      </w:r>
      <w:r>
        <w:rPr>
          <w:color w:val="auto"/>
        </w:rPr>
        <w:tab/>
        <w:t>Beim Eindampfen des Filtrats bleibt ein weißer Feststoff übrig. In der Petrischale bilden sich kleine weiße Kristalle.</w:t>
      </w:r>
    </w:p>
    <w:p w:rsidR="00A067B5" w:rsidRDefault="00A067B5" w:rsidP="00A067B5">
      <w:pPr>
        <w:pStyle w:val="Default"/>
        <w:spacing w:line="360" w:lineRule="auto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-2540</wp:posOffset>
            </wp:positionV>
            <wp:extent cx="2808605" cy="2080260"/>
            <wp:effectExtent l="19050" t="0" r="0" b="0"/>
            <wp:wrapTight wrapText="bothSides">
              <wp:wrapPolygon edited="0">
                <wp:start x="-147" y="0"/>
                <wp:lineTo x="-147" y="21363"/>
                <wp:lineTo x="21537" y="21363"/>
                <wp:lineTo x="21537" y="0"/>
                <wp:lineTo x="-147" y="0"/>
              </wp:wrapPolygon>
            </wp:wrapTight>
            <wp:docPr id="84" name="Grafik 83" descr="DSC0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94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</w:t>
      </w:r>
      <w:r w:rsidRPr="00691B35">
        <w:rPr>
          <w:rFonts w:asciiTheme="majorHAnsi" w:hAnsiTheme="majorHAnsi"/>
          <w:noProof/>
          <w:sz w:val="22"/>
          <w:szCs w:val="22"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2772008" cy="2079006"/>
            <wp:effectExtent l="19050" t="0" r="9292" b="0"/>
            <wp:docPr id="6" name="Grafik 5" descr="DSC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3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847" cy="207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2"/>
          <w:szCs w:val="22"/>
          <w:lang w:eastAsia="de-DE"/>
        </w:rPr>
        <w:t xml:space="preserve"> </w:t>
      </w:r>
    </w:p>
    <w:p w:rsidR="00A067B5" w:rsidRPr="000B6082" w:rsidRDefault="00A067B5" w:rsidP="00A067B5">
      <w:pPr>
        <w:tabs>
          <w:tab w:val="left" w:pos="1701"/>
          <w:tab w:val="left" w:pos="1985"/>
        </w:tabs>
        <w:ind w:left="1980" w:hanging="1980"/>
        <w:rPr>
          <w:color w:val="auto"/>
          <w:sz w:val="18"/>
          <w:szCs w:val="18"/>
        </w:rPr>
      </w:pPr>
      <w:r w:rsidRPr="000B6082">
        <w:rPr>
          <w:sz w:val="18"/>
          <w:szCs w:val="18"/>
        </w:rPr>
        <w:t xml:space="preserve">Abb. </w:t>
      </w:r>
      <w:r>
        <w:rPr>
          <w:sz w:val="18"/>
          <w:szCs w:val="18"/>
        </w:rPr>
        <w:t>5</w:t>
      </w:r>
      <w:r w:rsidRPr="000B6082">
        <w:rPr>
          <w:sz w:val="18"/>
          <w:szCs w:val="18"/>
        </w:rPr>
        <w:t xml:space="preserve"> - </w:t>
      </w:r>
      <w:r w:rsidRPr="000B6082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Vom Steinsalz (links) zum Kochsalz (rechts)</w:t>
      </w:r>
      <w:r>
        <w:rPr>
          <w:noProof/>
          <w:sz w:val="18"/>
          <w:szCs w:val="18"/>
        </w:rPr>
        <w:tab/>
        <w:t xml:space="preserve">              </w:t>
      </w:r>
      <w:r w:rsidRPr="000B6082">
        <w:rPr>
          <w:sz w:val="18"/>
          <w:szCs w:val="18"/>
        </w:rPr>
        <w:t xml:space="preserve">Abb. </w:t>
      </w:r>
      <w:r>
        <w:rPr>
          <w:sz w:val="18"/>
          <w:szCs w:val="18"/>
        </w:rPr>
        <w:t>6</w:t>
      </w:r>
      <w:r w:rsidRPr="000B6082">
        <w:rPr>
          <w:sz w:val="18"/>
          <w:szCs w:val="18"/>
        </w:rPr>
        <w:t xml:space="preserve"> - </w:t>
      </w:r>
      <w:r w:rsidRPr="000B6082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Auskristallisiertes Kochsalz</w:t>
      </w:r>
    </w:p>
    <w:p w:rsidR="00A067B5" w:rsidRPr="00027FF6" w:rsidRDefault="00A067B5" w:rsidP="00A067B5">
      <w:pPr>
        <w:tabs>
          <w:tab w:val="left" w:pos="1701"/>
          <w:tab w:val="left" w:pos="1985"/>
        </w:tabs>
        <w:rPr>
          <w:color w:val="auto"/>
        </w:rPr>
      </w:pPr>
      <w:r w:rsidRPr="00027FF6">
        <w:rPr>
          <w:color w:val="auto"/>
        </w:rPr>
        <w:t xml:space="preserve">Deutung: </w:t>
      </w:r>
      <w:r w:rsidRPr="00027FF6">
        <w:rPr>
          <w:color w:val="auto"/>
        </w:rPr>
        <w:tab/>
      </w:r>
      <w:r w:rsidRPr="00027FF6">
        <w:rPr>
          <w:color w:val="auto"/>
        </w:rPr>
        <w:tab/>
      </w:r>
      <w:r>
        <w:rPr>
          <w:color w:val="auto"/>
        </w:rPr>
        <w:t>Bei dem Feststoff und den K</w:t>
      </w:r>
      <w:r w:rsidRPr="00027FF6">
        <w:rPr>
          <w:color w:val="auto"/>
        </w:rPr>
        <w:t>ristallen handelt es sich um reines Kochsalz.</w:t>
      </w:r>
    </w:p>
    <w:p w:rsidR="00A067B5" w:rsidRDefault="00A067B5" w:rsidP="00A067B5">
      <w:pPr>
        <w:tabs>
          <w:tab w:val="left" w:pos="1701"/>
          <w:tab w:val="left" w:pos="1985"/>
        </w:tabs>
        <w:ind w:left="1979" w:hanging="1979"/>
        <w:rPr>
          <w:color w:val="auto"/>
        </w:rPr>
      </w:pPr>
      <w:r w:rsidRPr="00027FF6">
        <w:rPr>
          <w:color w:val="auto"/>
        </w:rPr>
        <w:t xml:space="preserve">Entsorgung: </w:t>
      </w:r>
      <w:r w:rsidRPr="00027FF6">
        <w:rPr>
          <w:color w:val="auto"/>
        </w:rPr>
        <w:tab/>
      </w:r>
      <w:r w:rsidRPr="00027FF6">
        <w:rPr>
          <w:color w:val="auto"/>
        </w:rPr>
        <w:tab/>
        <w:t>Das Kochsalz kann in den Abfall gegeben werden</w:t>
      </w:r>
      <w:r>
        <w:rPr>
          <w:color w:val="auto"/>
        </w:rPr>
        <w:t xml:space="preserve"> oder für den nächsten Versuch verwendet werden</w:t>
      </w:r>
      <w:r w:rsidRPr="00027FF6">
        <w:rPr>
          <w:color w:val="auto"/>
        </w:rPr>
        <w:t>.</w:t>
      </w:r>
    </w:p>
    <w:p w:rsidR="00A067B5" w:rsidRPr="00027FF6" w:rsidRDefault="00A067B5" w:rsidP="00A067B5">
      <w:pPr>
        <w:tabs>
          <w:tab w:val="left" w:pos="1701"/>
          <w:tab w:val="left" w:pos="1985"/>
        </w:tabs>
        <w:ind w:left="1979" w:hanging="1979"/>
        <w:rPr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>
        <w:rPr>
          <w:color w:val="auto"/>
        </w:rPr>
        <w:t>Asselborn</w:t>
      </w:r>
      <w:proofErr w:type="spellEnd"/>
      <w:r>
        <w:rPr>
          <w:color w:val="auto"/>
        </w:rPr>
        <w:t xml:space="preserve">, W. u.a. (Hrsg.), Chemie heute - </w:t>
      </w:r>
      <w:proofErr w:type="spellStart"/>
      <w:r>
        <w:rPr>
          <w:color w:val="auto"/>
        </w:rPr>
        <w:t>Sekundarbereich</w:t>
      </w:r>
      <w:proofErr w:type="spellEnd"/>
      <w:r>
        <w:rPr>
          <w:color w:val="auto"/>
        </w:rPr>
        <w:t xml:space="preserve"> I, 5.Auflage, 2008, S. 44.</w:t>
      </w:r>
    </w:p>
    <w:p w:rsidR="00A067B5" w:rsidRPr="00027FF6" w:rsidRDefault="00FC63F8" w:rsidP="00A067B5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</w:r>
      <w:r>
        <w:rPr>
          <w:color w:val="auto"/>
        </w:rPr>
        <w:pict>
          <v:shape id="_x0000_s1028" type="#_x0000_t202" style="width:462.45pt;height:115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A067B5" w:rsidRPr="00027FF6" w:rsidRDefault="00A067B5" w:rsidP="00A067B5">
                  <w:pPr>
                    <w:tabs>
                      <w:tab w:val="left" w:pos="1701"/>
                      <w:tab w:val="left" w:pos="1985"/>
                    </w:tabs>
                    <w:rPr>
                      <w:b/>
                      <w:color w:val="auto"/>
                    </w:rPr>
                  </w:pPr>
                  <w:r w:rsidRPr="00027FF6">
                    <w:rPr>
                      <w:color w:val="auto"/>
                    </w:rPr>
                    <w:t xml:space="preserve">Zum </w:t>
                  </w:r>
                  <w:r>
                    <w:rPr>
                      <w:color w:val="auto"/>
                    </w:rPr>
                    <w:t>W</w:t>
                  </w:r>
                  <w:r w:rsidRPr="00027FF6">
                    <w:rPr>
                      <w:color w:val="auto"/>
                    </w:rPr>
                    <w:t>asser</w:t>
                  </w:r>
                  <w:r>
                    <w:rPr>
                      <w:color w:val="auto"/>
                    </w:rPr>
                    <w:t>-N</w:t>
                  </w:r>
                  <w:r w:rsidRPr="00027FF6">
                    <w:rPr>
                      <w:color w:val="auto"/>
                    </w:rPr>
                    <w:t>achwei</w:t>
                  </w:r>
                  <w:r>
                    <w:rPr>
                      <w:color w:val="auto"/>
                    </w:rPr>
                    <w:t>s</w:t>
                  </w:r>
                  <w:r w:rsidRPr="00027FF6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kann beim Eindampfen ein </w:t>
                  </w:r>
                  <w:r w:rsidRPr="00027FF6">
                    <w:rPr>
                      <w:color w:val="auto"/>
                    </w:rPr>
                    <w:t>Bechergl</w:t>
                  </w:r>
                  <w:r>
                    <w:rPr>
                      <w:color w:val="auto"/>
                    </w:rPr>
                    <w:t>a</w:t>
                  </w:r>
                  <w:r w:rsidRPr="00027FF6">
                    <w:rPr>
                      <w:color w:val="auto"/>
                    </w:rPr>
                    <w:t>s über</w:t>
                  </w:r>
                  <w:r>
                    <w:rPr>
                      <w:color w:val="auto"/>
                    </w:rPr>
                    <w:t xml:space="preserve"> die Abdampfschale</w:t>
                  </w:r>
                  <w:r w:rsidRPr="00027FF6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ge</w:t>
                  </w:r>
                  <w:r w:rsidRPr="00027FF6">
                    <w:rPr>
                      <w:color w:val="auto"/>
                    </w:rPr>
                    <w:t>halten</w:t>
                  </w:r>
                  <w:r>
                    <w:rPr>
                      <w:color w:val="auto"/>
                    </w:rPr>
                    <w:t xml:space="preserve"> werden. Es</w:t>
                  </w:r>
                  <w:r w:rsidRPr="00027FF6">
                    <w:rPr>
                      <w:color w:val="auto"/>
                    </w:rPr>
                    <w:t xml:space="preserve"> bietet sich vor allem im Bereich der Gewinnung von Meersalz die Möglichkeit eines Fächerübergriffes zum Beispiel zum Erdkundeunterricht bei der Frage, wie das Salz in</w:t>
                  </w:r>
                  <w:r>
                    <w:rPr>
                      <w:color w:val="auto"/>
                    </w:rPr>
                    <w:t xml:space="preserve"> da</w:t>
                  </w:r>
                  <w:r w:rsidRPr="00027FF6">
                    <w:rPr>
                      <w:color w:val="auto"/>
                    </w:rPr>
                    <w:t>s Meer kam, oder zu</w:t>
                  </w:r>
                  <w:r>
                    <w:rPr>
                      <w:color w:val="auto"/>
                    </w:rPr>
                    <w:t>m</w:t>
                  </w:r>
                  <w:r w:rsidRPr="00027FF6">
                    <w:rPr>
                      <w:color w:val="auto"/>
                    </w:rPr>
                    <w:t xml:space="preserve"> Geschicht</w:t>
                  </w:r>
                  <w:r>
                    <w:rPr>
                      <w:color w:val="auto"/>
                    </w:rPr>
                    <w:t>sunterricht</w:t>
                  </w:r>
                  <w:r w:rsidRPr="00027FF6">
                    <w:rPr>
                      <w:color w:val="auto"/>
                    </w:rPr>
                    <w:t>, indem die frühere Bedeutung des Salzes als weißes Gold oder die Herstellung bei alten Völkern</w:t>
                  </w:r>
                  <w:r>
                    <w:rPr>
                      <w:color w:val="auto"/>
                    </w:rPr>
                    <w:t xml:space="preserve"> (Ägyptern, Römern)</w:t>
                  </w:r>
                  <w:r w:rsidRPr="00027FF6">
                    <w:rPr>
                      <w:color w:val="auto"/>
                    </w:rPr>
                    <w:t xml:space="preserve"> herausgearbeitet werden kann. </w:t>
                  </w:r>
                </w:p>
                <w:p w:rsidR="00A067B5" w:rsidRPr="0066668D" w:rsidRDefault="00A067B5" w:rsidP="00A067B5">
                  <w:pPr>
                    <w:rPr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D2" w:rsidRDefault="004B77D2" w:rsidP="00EB75BB">
      <w:pPr>
        <w:spacing w:after="0" w:line="240" w:lineRule="auto"/>
      </w:pPr>
      <w:r>
        <w:separator/>
      </w:r>
    </w:p>
  </w:endnote>
  <w:endnote w:type="continuationSeparator" w:id="0">
    <w:p w:rsidR="004B77D2" w:rsidRDefault="004B77D2" w:rsidP="00EB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D2" w:rsidRDefault="004B77D2" w:rsidP="00EB75BB">
      <w:pPr>
        <w:spacing w:after="0" w:line="240" w:lineRule="auto"/>
      </w:pPr>
      <w:r>
        <w:separator/>
      </w:r>
    </w:p>
  </w:footnote>
  <w:footnote w:type="continuationSeparator" w:id="0">
    <w:p w:rsidR="004B77D2" w:rsidRDefault="004B77D2" w:rsidP="00EB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EB75BB" w:rsidRDefault="00EB75BB" w:rsidP="00EB75BB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EB75BB">
            <w:rPr>
              <w:b/>
              <w:bCs/>
              <w:noProof/>
            </w:rPr>
            <w:t>V 3 - Vom Steinsalz zum Kochsalz</w:t>
          </w:r>
        </w:fldSimple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 w:cs="Arial"/>
            <w:sz w:val="20"/>
            <w:szCs w:val="20"/>
          </w:rPr>
          <w:t xml:space="preserve"> </w:t>
        </w:r>
        <w:r>
          <w:rPr>
            <w:rFonts w:asciiTheme="majorHAnsi" w:hAnsiTheme="majorHAnsi"/>
            <w:sz w:val="20"/>
            <w:szCs w:val="20"/>
          </w:rPr>
          <w:fldChar w:fldCharType="begin"/>
        </w:r>
        <w:r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2</w:t>
        </w:r>
        <w:r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EB75BB" w:rsidRDefault="00EB75BB" w:rsidP="00EB75BB">
    <w:pPr>
      <w:pStyle w:val="Kopfzeile"/>
      <w:rPr>
        <w:rFonts w:asciiTheme="majorHAnsi" w:hAnsiTheme="majorHAnsi"/>
        <w:sz w:val="20"/>
        <w:szCs w:val="20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3.35pt;margin-top:3.05pt;width:462pt;height:.05pt;flip:x;z-index:251658240" o:connectortype="straight"/>
      </w:pict>
    </w:r>
  </w:p>
  <w:p w:rsidR="00EB75BB" w:rsidRDefault="00EB75B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067B5"/>
    <w:rsid w:val="00293ED5"/>
    <w:rsid w:val="004465A0"/>
    <w:rsid w:val="004B77D2"/>
    <w:rsid w:val="00A067B5"/>
    <w:rsid w:val="00A46392"/>
    <w:rsid w:val="00E60FD7"/>
    <w:rsid w:val="00EB75BB"/>
    <w:rsid w:val="00FC63F8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7B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67B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67B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67B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67B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67B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67B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7B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7B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7B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67B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67B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67B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6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67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7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7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7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7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A067B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7B5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B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B75B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EB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75BB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41CF-3D31-4728-90E3-57787419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2</cp:revision>
  <dcterms:created xsi:type="dcterms:W3CDTF">2013-08-13T16:50:00Z</dcterms:created>
  <dcterms:modified xsi:type="dcterms:W3CDTF">2013-08-14T17:58:00Z</dcterms:modified>
</cp:coreProperties>
</file>