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B1" w:rsidRPr="00ED4AAD" w:rsidRDefault="006A76B1" w:rsidP="00ED4AAD">
      <w:pPr>
        <w:pStyle w:val="berschrift1"/>
        <w:numPr>
          <w:ilvl w:val="0"/>
          <w:numId w:val="0"/>
        </w:numPr>
        <w:ind w:left="432" w:hanging="432"/>
        <w:jc w:val="center"/>
        <w:rPr>
          <w:sz w:val="40"/>
          <w:szCs w:val="40"/>
          <w:u w:val="single"/>
        </w:rPr>
      </w:pPr>
      <w:bookmarkStart w:id="0" w:name="_Toc362846715"/>
      <w:r w:rsidRPr="00ED4AAD">
        <w:rPr>
          <w:sz w:val="40"/>
          <w:szCs w:val="40"/>
          <w:u w:val="single"/>
        </w:rPr>
        <w:t>V 4 – Sieden von Kochsalzlösungen</w:t>
      </w:r>
      <w:bookmarkEnd w:id="0"/>
    </w:p>
    <w:p w:rsidR="006A76B1" w:rsidRDefault="00154A40" w:rsidP="006A76B1">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1.3pt;width:462.45pt;height:82.3pt;z-index:251660288;mso-width-relative:margin;mso-height-relative:margin" fillcolor="white [3201]" strokecolor="#4bacc6 [3208]" strokeweight="1pt">
            <v:stroke dashstyle="dash"/>
            <v:shadow color="#868686"/>
            <v:textbox style="mso-next-textbox:#_x0000_s1027">
              <w:txbxContent>
                <w:p w:rsidR="006A76B1" w:rsidRPr="00B02593" w:rsidRDefault="006A76B1" w:rsidP="006A76B1">
                  <w:pPr>
                    <w:rPr>
                      <w:color w:val="auto"/>
                    </w:rPr>
                  </w:pPr>
                  <w:r w:rsidRPr="00B02593">
                    <w:rPr>
                      <w:color w:val="auto"/>
                    </w:rPr>
                    <w:t xml:space="preserve">Dieser Versuch kann auf Grund seines eher komplizierten Aufbaus auch als </w:t>
                  </w:r>
                  <w:r>
                    <w:rPr>
                      <w:color w:val="auto"/>
                    </w:rPr>
                    <w:t xml:space="preserve">Schülerdemonstrationsexperiment oder </w:t>
                  </w:r>
                  <w:r w:rsidRPr="00B02593">
                    <w:rPr>
                      <w:color w:val="auto"/>
                    </w:rPr>
                    <w:t xml:space="preserve">Lehrerversuch durchgeführt werden. Er bietet jedoch eine gute Gelegenheit für die </w:t>
                  </w:r>
                  <w:proofErr w:type="spellStart"/>
                  <w:r w:rsidRPr="00B02593">
                    <w:rPr>
                      <w:color w:val="auto"/>
                    </w:rPr>
                    <w:t>SuS</w:t>
                  </w:r>
                  <w:proofErr w:type="spellEnd"/>
                  <w:r w:rsidRPr="00B02593">
                    <w:rPr>
                      <w:color w:val="auto"/>
                    </w:rPr>
                    <w:t xml:space="preserve"> praktische Experimentierfähigkeiten, wie den Umgang mit dem Bunsenbrenner und die </w:t>
                  </w:r>
                  <w:proofErr w:type="spellStart"/>
                  <w:r w:rsidRPr="00B02593">
                    <w:rPr>
                      <w:color w:val="auto"/>
                    </w:rPr>
                    <w:t>Messwerterfassung</w:t>
                  </w:r>
                  <w:proofErr w:type="spellEnd"/>
                  <w:r w:rsidRPr="00B02593">
                    <w:rPr>
                      <w:color w:val="auto"/>
                    </w:rPr>
                    <w:t xml:space="preserve"> zu üben.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A76B1" w:rsidRPr="009C5E28" w:rsidTr="00116CCC">
        <w:tc>
          <w:tcPr>
            <w:tcW w:w="9322" w:type="dxa"/>
            <w:gridSpan w:val="9"/>
            <w:shd w:val="clear" w:color="auto" w:fill="4F81BD"/>
            <w:vAlign w:val="center"/>
          </w:tcPr>
          <w:p w:rsidR="006A76B1" w:rsidRPr="009C5E28" w:rsidRDefault="006A76B1" w:rsidP="00116CCC">
            <w:pPr>
              <w:spacing w:after="0"/>
              <w:rPr>
                <w:b/>
                <w:bCs/>
              </w:rPr>
            </w:pPr>
            <w:r w:rsidRPr="009C5E28">
              <w:rPr>
                <w:b/>
                <w:bCs/>
              </w:rPr>
              <w:t>Gefahrenstoffe</w:t>
            </w:r>
          </w:p>
        </w:tc>
      </w:tr>
      <w:tr w:rsidR="006A76B1" w:rsidRPr="009C5E28" w:rsidTr="00116CC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76B1" w:rsidRPr="009C5E28" w:rsidRDefault="006A76B1" w:rsidP="00116CCC">
            <w:pPr>
              <w:spacing w:after="0"/>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6A76B1" w:rsidRPr="009C5E28" w:rsidRDefault="006A76B1" w:rsidP="00116CCC">
            <w:pPr>
              <w:spacing w:after="0"/>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A76B1" w:rsidRPr="00655494" w:rsidRDefault="006A76B1" w:rsidP="00116CCC">
            <w:pPr>
              <w:spacing w:after="0"/>
              <w:rPr>
                <w:rFonts w:asciiTheme="majorHAnsi" w:hAnsiTheme="majorHAnsi"/>
              </w:rPr>
            </w:pPr>
            <w:r>
              <w:t>/</w:t>
            </w:r>
          </w:p>
        </w:tc>
      </w:tr>
      <w:tr w:rsidR="006A76B1" w:rsidRPr="009C5E28" w:rsidTr="00116CCC">
        <w:tc>
          <w:tcPr>
            <w:tcW w:w="1009" w:type="dxa"/>
            <w:tcBorders>
              <w:top w:val="single" w:sz="8" w:space="0" w:color="4F81BD"/>
              <w:left w:val="single" w:sz="8" w:space="0" w:color="4F81BD"/>
              <w:bottom w:val="single" w:sz="8" w:space="0" w:color="4F81BD"/>
            </w:tcBorders>
            <w:shd w:val="clear" w:color="auto" w:fill="auto"/>
            <w:vAlign w:val="center"/>
          </w:tcPr>
          <w:p w:rsidR="006A76B1" w:rsidRPr="009C5E28" w:rsidRDefault="006A76B1" w:rsidP="00116CCC">
            <w:pPr>
              <w:spacing w:after="0"/>
              <w:rPr>
                <w:b/>
                <w:bCs/>
              </w:rPr>
            </w:pPr>
            <w:r>
              <w:rPr>
                <w:b/>
                <w:noProof/>
                <w:lang w:eastAsia="de-DE"/>
              </w:rPr>
              <w:drawing>
                <wp:inline distT="0" distB="0" distL="0" distR="0">
                  <wp:extent cx="504190" cy="504190"/>
                  <wp:effectExtent l="19050" t="0" r="0" b="0"/>
                  <wp:docPr id="2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04190" cy="504190"/>
                  <wp:effectExtent l="19050" t="0" r="0" b="0"/>
                  <wp:docPr id="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04190" cy="504190"/>
                  <wp:effectExtent l="1905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04190" cy="504190"/>
                  <wp:effectExtent l="0" t="0" r="0" b="0"/>
                  <wp:docPr id="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04190" cy="504190"/>
                  <wp:effectExtent l="0" t="0" r="0" b="0"/>
                  <wp:docPr id="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04190" cy="504190"/>
                  <wp:effectExtent l="0" t="0" r="0" b="0"/>
                  <wp:docPr id="4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11175" cy="511175"/>
                  <wp:effectExtent l="19050" t="0" r="3175" b="0"/>
                  <wp:docPr id="4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A76B1" w:rsidRPr="009C5E28" w:rsidRDefault="006A76B1" w:rsidP="00116CCC">
            <w:pPr>
              <w:spacing w:after="0"/>
            </w:pPr>
            <w:r>
              <w:rPr>
                <w:noProof/>
                <w:lang w:eastAsia="de-DE"/>
              </w:rPr>
              <w:drawing>
                <wp:inline distT="0" distB="0" distL="0" distR="0">
                  <wp:extent cx="504190" cy="504190"/>
                  <wp:effectExtent l="19050" t="0" r="0" b="0"/>
                  <wp:docPr id="4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6A76B1" w:rsidRDefault="006A76B1" w:rsidP="006A76B1">
      <w:pPr>
        <w:tabs>
          <w:tab w:val="left" w:pos="1701"/>
          <w:tab w:val="left" w:pos="1985"/>
        </w:tabs>
        <w:ind w:left="1980" w:hanging="1980"/>
      </w:pPr>
    </w:p>
    <w:p w:rsidR="006A76B1" w:rsidRPr="00A768C6" w:rsidRDefault="006A76B1" w:rsidP="006A76B1">
      <w:pPr>
        <w:pStyle w:val="Default"/>
        <w:spacing w:after="200" w:line="360" w:lineRule="auto"/>
        <w:ind w:left="1979" w:hanging="1979"/>
        <w:jc w:val="both"/>
        <w:rPr>
          <w:rFonts w:asciiTheme="majorHAnsi" w:hAnsiTheme="majorHAnsi" w:cs="Verdana"/>
          <w:sz w:val="22"/>
          <w:szCs w:val="22"/>
        </w:rPr>
      </w:pPr>
      <w:r w:rsidRPr="00A768C6">
        <w:rPr>
          <w:rFonts w:asciiTheme="majorHAnsi" w:hAnsiTheme="majorHAnsi"/>
          <w:sz w:val="22"/>
          <w:szCs w:val="22"/>
        </w:rPr>
        <w:t xml:space="preserve">Materialien: </w:t>
      </w:r>
      <w:r>
        <w:rPr>
          <w:rFonts w:asciiTheme="majorHAnsi" w:hAnsiTheme="majorHAnsi"/>
          <w:sz w:val="22"/>
          <w:szCs w:val="22"/>
        </w:rPr>
        <w:tab/>
        <w:t xml:space="preserve">Stoppuhr, (möglichst digitales) Thermometer, Bunsenbrenner, Dreifuß, zwei Bechergläser (100 mL), </w:t>
      </w:r>
      <w:r>
        <w:rPr>
          <w:rFonts w:asciiTheme="majorHAnsi" w:hAnsiTheme="majorHAnsi" w:cs="Verdana"/>
          <w:sz w:val="22"/>
          <w:szCs w:val="22"/>
        </w:rPr>
        <w:t>Siedesteine</w:t>
      </w:r>
      <w:r>
        <w:rPr>
          <w:rFonts w:asciiTheme="majorHAnsi" w:hAnsiTheme="majorHAnsi"/>
          <w:sz w:val="22"/>
          <w:szCs w:val="22"/>
        </w:rPr>
        <w:t xml:space="preserve"> </w:t>
      </w:r>
    </w:p>
    <w:p w:rsidR="006A76B1" w:rsidRPr="00A768C6" w:rsidRDefault="006A76B1" w:rsidP="006A76B1">
      <w:pPr>
        <w:pStyle w:val="Default"/>
        <w:spacing w:after="200" w:line="360" w:lineRule="auto"/>
        <w:jc w:val="both"/>
        <w:rPr>
          <w:rFonts w:asciiTheme="majorHAnsi" w:hAnsiTheme="majorHAnsi"/>
        </w:rPr>
      </w:pPr>
      <w:r>
        <w:rPr>
          <w:rFonts w:asciiTheme="majorHAnsi" w:hAnsiTheme="majorHAnsi"/>
          <w:sz w:val="22"/>
          <w:szCs w:val="22"/>
        </w:rPr>
        <w:t xml:space="preserve">Chemikalien: </w:t>
      </w:r>
      <w:r>
        <w:rPr>
          <w:rFonts w:asciiTheme="majorHAnsi" w:hAnsiTheme="majorHAnsi"/>
          <w:sz w:val="22"/>
          <w:szCs w:val="22"/>
        </w:rPr>
        <w:tab/>
        <w:t xml:space="preserve">           </w:t>
      </w:r>
      <w:r>
        <w:rPr>
          <w:rFonts w:asciiTheme="majorHAnsi" w:hAnsiTheme="majorHAnsi" w:cs="Verdana"/>
          <w:sz w:val="22"/>
          <w:szCs w:val="22"/>
        </w:rPr>
        <w:t>Kochsalz, demineralisiertes Wasser</w:t>
      </w:r>
    </w:p>
    <w:p w:rsidR="006A76B1" w:rsidRPr="002202E9" w:rsidRDefault="006A76B1" w:rsidP="006A76B1">
      <w:pPr>
        <w:tabs>
          <w:tab w:val="left" w:pos="1701"/>
          <w:tab w:val="left" w:pos="1985"/>
        </w:tabs>
        <w:ind w:left="1980" w:hanging="1980"/>
        <w:rPr>
          <w:color w:val="auto"/>
        </w:rPr>
      </w:pPr>
      <w:r w:rsidRPr="002202E9">
        <w:rPr>
          <w:color w:val="auto"/>
        </w:rPr>
        <w:t>Durchführung:</w:t>
      </w:r>
      <w:r>
        <w:rPr>
          <w:color w:val="auto"/>
        </w:rPr>
        <w:t xml:space="preserve"> </w:t>
      </w:r>
      <w:r>
        <w:rPr>
          <w:color w:val="auto"/>
        </w:rPr>
        <w:tab/>
      </w:r>
      <w:r>
        <w:rPr>
          <w:color w:val="auto"/>
        </w:rPr>
        <w:tab/>
        <w:t>In ein Becherglas werden etwa 50 mL Wasser gegeben und mit einem Thermometer die Temperatur gemessen. Das Wasser wird nun bis zum Sieden erhitzt und dabei die Zeit gestoppt. Sobald das Wasser zu kochen beginnt, wird die Temperatur abgelesen. Dasselbe wird mit demselben Volumen Kochsalzlösung durchgeführt.</w:t>
      </w:r>
    </w:p>
    <w:p w:rsidR="006A76B1" w:rsidRDefault="006A76B1" w:rsidP="006A76B1">
      <w:pPr>
        <w:tabs>
          <w:tab w:val="left" w:pos="1701"/>
          <w:tab w:val="left" w:pos="1985"/>
        </w:tabs>
        <w:ind w:left="1980" w:hanging="1980"/>
        <w:rPr>
          <w:color w:val="auto"/>
        </w:rPr>
      </w:pPr>
      <w:r w:rsidRPr="002202E9">
        <w:rPr>
          <w:color w:val="auto"/>
        </w:rPr>
        <w:t>Beobachtung</w:t>
      </w:r>
      <w:r>
        <w:rPr>
          <w:color w:val="auto"/>
        </w:rPr>
        <w:t xml:space="preserve">: </w:t>
      </w:r>
      <w:r>
        <w:rPr>
          <w:color w:val="auto"/>
        </w:rPr>
        <w:tab/>
      </w:r>
      <w:r>
        <w:rPr>
          <w:color w:val="auto"/>
        </w:rPr>
        <w:tab/>
        <w:t>Das reine Wasser beginnt bei 98,4 °C zu sieden und benötigt dafür 4 Minuten und 20 Sekunden. Die Kochsalzlösung siedet bei 101,8 °C und benötigt dafür 3 Minuten und  25 Sekunden.</w:t>
      </w:r>
    </w:p>
    <w:p w:rsidR="006A76B1" w:rsidRDefault="006A76B1" w:rsidP="006A76B1">
      <w:pPr>
        <w:pStyle w:val="Default"/>
        <w:spacing w:line="360" w:lineRule="auto"/>
        <w:jc w:val="center"/>
      </w:pPr>
      <w:r>
        <w:lastRenderedPageBreak/>
        <w:t></w:t>
      </w:r>
      <w:r w:rsidRPr="00691B35">
        <w:rPr>
          <w:rFonts w:asciiTheme="majorHAnsi" w:hAnsiTheme="majorHAnsi"/>
          <w:noProof/>
          <w:sz w:val="22"/>
          <w:szCs w:val="22"/>
          <w:lang w:eastAsia="de-DE"/>
        </w:rPr>
        <w:t xml:space="preserve"> </w:t>
      </w:r>
      <w:r>
        <w:rPr>
          <w:rFonts w:asciiTheme="majorHAnsi" w:hAnsiTheme="majorHAnsi"/>
          <w:noProof/>
          <w:sz w:val="22"/>
          <w:szCs w:val="22"/>
          <w:lang w:eastAsia="de-DE"/>
        </w:rPr>
        <w:drawing>
          <wp:inline distT="0" distB="0" distL="0" distR="0">
            <wp:extent cx="4567555" cy="3425666"/>
            <wp:effectExtent l="19050" t="0" r="4445" b="0"/>
            <wp:docPr id="49" name="Grafik 48" descr="DSC00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71.JPG"/>
                    <pic:cNvPicPr/>
                  </pic:nvPicPr>
                  <pic:blipFill>
                    <a:blip r:embed="rId17" cstate="print"/>
                    <a:stretch>
                      <a:fillRect/>
                    </a:stretch>
                  </pic:blipFill>
                  <pic:spPr>
                    <a:xfrm>
                      <a:off x="0" y="0"/>
                      <a:ext cx="4572524" cy="3429393"/>
                    </a:xfrm>
                    <a:prstGeom prst="rect">
                      <a:avLst/>
                    </a:prstGeom>
                  </pic:spPr>
                </pic:pic>
              </a:graphicData>
            </a:graphic>
          </wp:inline>
        </w:drawing>
      </w:r>
      <w:r>
        <w:rPr>
          <w:rFonts w:asciiTheme="majorHAnsi" w:hAnsiTheme="majorHAnsi"/>
          <w:noProof/>
          <w:sz w:val="22"/>
          <w:szCs w:val="22"/>
          <w:lang w:eastAsia="de-DE"/>
        </w:rPr>
        <w:t xml:space="preserve"> </w:t>
      </w:r>
      <w:r>
        <w:rPr>
          <w:rFonts w:asciiTheme="majorHAnsi" w:hAnsiTheme="majorHAnsi"/>
          <w:noProof/>
          <w:sz w:val="22"/>
          <w:szCs w:val="22"/>
          <w:lang w:eastAsia="de-DE"/>
        </w:rPr>
        <w:tab/>
      </w:r>
    </w:p>
    <w:p w:rsidR="006A76B1" w:rsidRPr="000B6082" w:rsidRDefault="006A76B1" w:rsidP="006A76B1">
      <w:pPr>
        <w:tabs>
          <w:tab w:val="left" w:pos="1701"/>
          <w:tab w:val="left" w:pos="1985"/>
        </w:tabs>
        <w:ind w:left="1980" w:hanging="1980"/>
        <w:rPr>
          <w:color w:val="auto"/>
          <w:sz w:val="18"/>
          <w:szCs w:val="18"/>
        </w:rPr>
      </w:pPr>
      <w:r>
        <w:rPr>
          <w:sz w:val="18"/>
          <w:szCs w:val="18"/>
        </w:rPr>
        <w:tab/>
      </w:r>
      <w:r w:rsidRPr="000B6082">
        <w:rPr>
          <w:sz w:val="18"/>
          <w:szCs w:val="18"/>
        </w:rPr>
        <w:t xml:space="preserve">Abb. </w:t>
      </w:r>
      <w:r>
        <w:rPr>
          <w:sz w:val="18"/>
          <w:szCs w:val="18"/>
        </w:rPr>
        <w:t>7</w:t>
      </w:r>
      <w:r w:rsidRPr="000B6082">
        <w:rPr>
          <w:sz w:val="18"/>
          <w:szCs w:val="18"/>
        </w:rPr>
        <w:t xml:space="preserve"> - </w:t>
      </w:r>
      <w:r w:rsidRPr="000B6082">
        <w:rPr>
          <w:noProof/>
          <w:sz w:val="18"/>
          <w:szCs w:val="18"/>
        </w:rPr>
        <w:t xml:space="preserve"> </w:t>
      </w:r>
      <w:r>
        <w:rPr>
          <w:noProof/>
          <w:sz w:val="18"/>
          <w:szCs w:val="18"/>
        </w:rPr>
        <w:t>Aufbau der Apparatur</w:t>
      </w:r>
    </w:p>
    <w:p w:rsidR="006A76B1" w:rsidRPr="00027FF6" w:rsidRDefault="006A76B1" w:rsidP="006A76B1">
      <w:pPr>
        <w:tabs>
          <w:tab w:val="left" w:pos="1701"/>
          <w:tab w:val="left" w:pos="1985"/>
        </w:tabs>
        <w:rPr>
          <w:color w:val="auto"/>
        </w:rPr>
      </w:pPr>
      <w:r w:rsidRPr="00027FF6">
        <w:rPr>
          <w:color w:val="auto"/>
        </w:rPr>
        <w:t xml:space="preserve">Deutung: </w:t>
      </w:r>
      <w:r w:rsidRPr="00027FF6">
        <w:rPr>
          <w:color w:val="auto"/>
        </w:rPr>
        <w:tab/>
      </w:r>
      <w:r w:rsidRPr="00027FF6">
        <w:rPr>
          <w:color w:val="auto"/>
        </w:rPr>
        <w:tab/>
      </w:r>
      <w:r>
        <w:rPr>
          <w:color w:val="auto"/>
        </w:rPr>
        <w:t>Bei dem Feststoff und den K</w:t>
      </w:r>
      <w:r w:rsidRPr="00027FF6">
        <w:rPr>
          <w:color w:val="auto"/>
        </w:rPr>
        <w:t>ristallen handelt es sich um reines Kochsalz.</w:t>
      </w:r>
    </w:p>
    <w:p w:rsidR="006A76B1" w:rsidRPr="00027FF6" w:rsidRDefault="006A76B1" w:rsidP="006A76B1">
      <w:pPr>
        <w:tabs>
          <w:tab w:val="left" w:pos="1701"/>
          <w:tab w:val="left" w:pos="1985"/>
        </w:tabs>
        <w:rPr>
          <w:color w:val="auto"/>
        </w:rPr>
      </w:pPr>
      <w:r w:rsidRPr="00027FF6">
        <w:rPr>
          <w:color w:val="auto"/>
        </w:rPr>
        <w:t xml:space="preserve">Entsorgung: </w:t>
      </w:r>
      <w:r w:rsidRPr="00027FF6">
        <w:rPr>
          <w:color w:val="auto"/>
        </w:rPr>
        <w:tab/>
      </w:r>
      <w:r w:rsidRPr="00027FF6">
        <w:rPr>
          <w:color w:val="auto"/>
        </w:rPr>
        <w:tab/>
        <w:t>Das Kochsalz kann in den Abfall gegeben</w:t>
      </w:r>
      <w:r>
        <w:rPr>
          <w:color w:val="auto"/>
        </w:rPr>
        <w:t xml:space="preserve"> oder wiederverwendet</w:t>
      </w:r>
      <w:r w:rsidRPr="00027FF6">
        <w:rPr>
          <w:color w:val="auto"/>
        </w:rPr>
        <w:t xml:space="preserve"> werden.</w:t>
      </w:r>
    </w:p>
    <w:p w:rsidR="004465A0" w:rsidRDefault="00154A40" w:rsidP="006A76B1">
      <w:r w:rsidRPr="00154A40">
        <w:rPr>
          <w:color w:val="auto"/>
        </w:rPr>
      </w:r>
      <w:r w:rsidRPr="00154A40">
        <w:rPr>
          <w:color w:val="auto"/>
        </w:rPr>
        <w:pict>
          <v:shape id="_x0000_s1028" type="#_x0000_t202" style="width:462.45pt;height:77pt;mso-position-horizontal-relative:char;mso-position-vertical-relative:line;mso-width-relative:margin;mso-height-relative:margin" fillcolor="white [3201]" strokecolor="#c0504d [3205]" strokeweight="1pt">
            <v:stroke dashstyle="dash"/>
            <v:shadow color="#868686"/>
            <v:textbox style="mso-next-textbox:#_x0000_s1028">
              <w:txbxContent>
                <w:p w:rsidR="006A76B1" w:rsidRPr="00027FF6" w:rsidRDefault="006A76B1" w:rsidP="006A76B1">
                  <w:pPr>
                    <w:tabs>
                      <w:tab w:val="left" w:pos="1701"/>
                      <w:tab w:val="left" w:pos="1985"/>
                    </w:tabs>
                    <w:rPr>
                      <w:b/>
                      <w:color w:val="auto"/>
                    </w:rPr>
                  </w:pPr>
                  <w:r>
                    <w:rPr>
                      <w:color w:val="auto"/>
                    </w:rPr>
                    <w:t>Der Versuch</w:t>
                  </w:r>
                  <w:r w:rsidRPr="00027FF6">
                    <w:rPr>
                      <w:color w:val="auto"/>
                    </w:rPr>
                    <w:t xml:space="preserve"> </w:t>
                  </w:r>
                  <w:r>
                    <w:rPr>
                      <w:color w:val="auto"/>
                    </w:rPr>
                    <w:t xml:space="preserve">kann die Siedepunkterhöhung durch Kochsalz zeigen; zum anderen erklärt es warum Kochsalz - neben Gründen des Geschmacks- beim Kochen eingesetzt wird. Es kann neben dem folgenden Experiment gut in einer </w:t>
                  </w:r>
                  <w:proofErr w:type="spellStart"/>
                  <w:r>
                    <w:rPr>
                      <w:color w:val="auto"/>
                    </w:rPr>
                    <w:t>Stationenarbeit</w:t>
                  </w:r>
                  <w:proofErr w:type="spellEnd"/>
                  <w:r>
                    <w:rPr>
                      <w:color w:val="auto"/>
                    </w:rPr>
                    <w:t xml:space="preserve"> zu den Eigenschaften von Natriumchlorid verwendet werden.</w:t>
                  </w:r>
                </w:p>
                <w:p w:rsidR="006A76B1" w:rsidRPr="0066668D" w:rsidRDefault="006A76B1" w:rsidP="006A76B1">
                  <w:pPr>
                    <w:rPr>
                      <w:color w:val="auto"/>
                    </w:rPr>
                  </w:pPr>
                </w:p>
              </w:txbxContent>
            </v:textbox>
            <w10:wrap type="none"/>
            <w10:anchorlock/>
          </v:shape>
        </w:pict>
      </w:r>
    </w:p>
    <w:sectPr w:rsidR="004465A0" w:rsidSect="004465A0">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75" w:rsidRDefault="00624A75" w:rsidP="00ED4AAD">
      <w:pPr>
        <w:spacing w:after="0" w:line="240" w:lineRule="auto"/>
      </w:pPr>
      <w:r>
        <w:separator/>
      </w:r>
    </w:p>
  </w:endnote>
  <w:endnote w:type="continuationSeparator" w:id="0">
    <w:p w:rsidR="00624A75" w:rsidRDefault="00624A75" w:rsidP="00ED4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75" w:rsidRDefault="00624A75" w:rsidP="00ED4AAD">
      <w:pPr>
        <w:spacing w:after="0" w:line="240" w:lineRule="auto"/>
      </w:pPr>
      <w:r>
        <w:separator/>
      </w:r>
    </w:p>
  </w:footnote>
  <w:footnote w:type="continuationSeparator" w:id="0">
    <w:p w:rsidR="00624A75" w:rsidRDefault="00624A75" w:rsidP="00ED4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ED4AAD" w:rsidRDefault="00ED4AAD" w:rsidP="00ED4AAD">
        <w:pPr>
          <w:pStyle w:val="Kopfzeile"/>
          <w:tabs>
            <w:tab w:val="left" w:pos="0"/>
            <w:tab w:val="left" w:pos="284"/>
          </w:tabs>
          <w:jc w:val="right"/>
          <w:rPr>
            <w:rFonts w:asciiTheme="majorHAnsi" w:hAnsiTheme="majorHAnsi"/>
            <w:sz w:val="20"/>
            <w:szCs w:val="20"/>
          </w:rPr>
        </w:pPr>
        <w:fldSimple w:instr=" STYLEREF  &quot;Überschrift 1&quot;  \* MERGEFORMAT ">
          <w:r w:rsidRPr="00ED4AAD">
            <w:rPr>
              <w:b/>
              <w:bCs/>
              <w:noProof/>
            </w:rPr>
            <w:t>V 4 – Sieden von Kochsalzlösungen</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2</w:t>
        </w:r>
        <w:r>
          <w:rPr>
            <w:rFonts w:asciiTheme="majorHAnsi" w:hAnsiTheme="majorHAnsi"/>
            <w:sz w:val="20"/>
            <w:szCs w:val="20"/>
          </w:rPr>
          <w:fldChar w:fldCharType="end"/>
        </w:r>
      </w:p>
    </w:sdtContent>
  </w:sdt>
  <w:p w:rsidR="00ED4AAD" w:rsidRDefault="00ED4AAD" w:rsidP="00ED4AAD">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60288" o:connectortype="straight"/>
      </w:pict>
    </w:r>
  </w:p>
  <w:p w:rsidR="00ED4AAD" w:rsidRDefault="00ED4AA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6A76B1"/>
    <w:rsid w:val="00154A40"/>
    <w:rsid w:val="001B786D"/>
    <w:rsid w:val="00293ED5"/>
    <w:rsid w:val="004465A0"/>
    <w:rsid w:val="00624A75"/>
    <w:rsid w:val="006A76B1"/>
    <w:rsid w:val="00E60FD7"/>
    <w:rsid w:val="00ED4AAD"/>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6B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A76B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A76B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A76B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A76B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A76B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A76B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A76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A76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A76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6B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A76B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A76B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A76B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A76B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A76B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A76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A76B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A76B1"/>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76B1"/>
    <w:pPr>
      <w:autoSpaceDE w:val="0"/>
      <w:autoSpaceDN w:val="0"/>
      <w:adjustRightInd w:val="0"/>
      <w:spacing w:after="0" w:line="240" w:lineRule="auto"/>
    </w:pPr>
    <w:rPr>
      <w:rFonts w:ascii="Symbol" w:hAnsi="Symbol" w:cs="Symbol"/>
      <w:color w:val="000000"/>
      <w:sz w:val="24"/>
      <w:szCs w:val="24"/>
    </w:rPr>
  </w:style>
  <w:style w:type="paragraph" w:styleId="Sprechblasentext">
    <w:name w:val="Balloon Text"/>
    <w:basedOn w:val="Standard"/>
    <w:link w:val="SprechblasentextZchn"/>
    <w:uiPriority w:val="99"/>
    <w:semiHidden/>
    <w:unhideWhenUsed/>
    <w:rsid w:val="006A76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76B1"/>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ED4A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D4AAD"/>
    <w:rPr>
      <w:rFonts w:ascii="Cambria" w:hAnsi="Cambria"/>
      <w:color w:val="1D1B11" w:themeColor="background2" w:themeShade="1A"/>
    </w:rPr>
  </w:style>
  <w:style w:type="paragraph" w:styleId="Fuzeile">
    <w:name w:val="footer"/>
    <w:basedOn w:val="Standard"/>
    <w:link w:val="FuzeileZchn"/>
    <w:uiPriority w:val="99"/>
    <w:semiHidden/>
    <w:unhideWhenUsed/>
    <w:rsid w:val="00ED4AA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D4AA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1890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2254B-72F8-4695-BEF1-5DC7B6F3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887</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2013-08-13T16:52:00Z</dcterms:created>
  <dcterms:modified xsi:type="dcterms:W3CDTF">2013-08-14T17:59:00Z</dcterms:modified>
</cp:coreProperties>
</file>