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709" w:rsidRDefault="00AB2111" w:rsidP="004164DA">
      <w:pPr>
        <w:pStyle w:val="berschrift1"/>
        <w:numPr>
          <w:ilvl w:val="0"/>
          <w:numId w:val="0"/>
        </w:numPr>
        <w:ind w:left="432" w:hanging="432"/>
        <w:jc w:val="center"/>
        <w:rPr>
          <w:sz w:val="40"/>
          <w:szCs w:val="40"/>
          <w:u w:val="single"/>
        </w:rPr>
      </w:pPr>
      <w:bookmarkStart w:id="0" w:name="_Toc362846716"/>
      <w:r w:rsidRPr="00AB2111">
        <w:rPr>
          <w:noProof/>
          <w:sz w:val="22"/>
          <w:szCs w:val="26"/>
          <w:lang w:eastAsia="de-DE"/>
        </w:rPr>
        <w:pict>
          <v:shapetype id="_x0000_t202" coordsize="21600,21600" o:spt="202" path="m,l,21600r21600,l21600,xe">
            <v:stroke joinstyle="miter"/>
            <v:path gradientshapeok="t" o:connecttype="rect"/>
          </v:shapetype>
          <v:shape id="_x0000_s1028" type="#_x0000_t202" style="position:absolute;left:0;text-align:left;margin-left:-2.8pt;margin-top:69.6pt;width:462.45pt;height:59.05pt;z-index:251658240;mso-width-relative:margin;mso-height-relative:margin" fillcolor="white [3201]" strokecolor="#4bacc6 [3208]" strokeweight="1pt">
            <v:stroke dashstyle="dash"/>
            <v:shadow color="#868686"/>
            <v:textbox style="mso-next-textbox:#_x0000_s1028">
              <w:txbxContent>
                <w:p w:rsidR="00857D98" w:rsidRPr="00B02593" w:rsidRDefault="00857D98" w:rsidP="00857D98">
                  <w:pPr>
                    <w:rPr>
                      <w:color w:val="auto"/>
                    </w:rPr>
                  </w:pPr>
                  <w:r w:rsidRPr="00B02593">
                    <w:rPr>
                      <w:color w:val="auto"/>
                    </w:rPr>
                    <w:t xml:space="preserve">In diesem Versuch soll die Leitfähigkeit von </w:t>
                  </w:r>
                  <w:proofErr w:type="spellStart"/>
                  <w:r w:rsidRPr="00B02593">
                    <w:rPr>
                      <w:color w:val="auto"/>
                    </w:rPr>
                    <w:t>Kochsalzlöusngen</w:t>
                  </w:r>
                  <w:proofErr w:type="spellEnd"/>
                  <w:r w:rsidRPr="00B02593">
                    <w:rPr>
                      <w:color w:val="auto"/>
                    </w:rPr>
                    <w:t xml:space="preserve"> untersucht werden. Für diesen Versuch benötigen die </w:t>
                  </w:r>
                  <w:proofErr w:type="spellStart"/>
                  <w:r w:rsidRPr="00B02593">
                    <w:rPr>
                      <w:color w:val="auto"/>
                    </w:rPr>
                    <w:t>SuS</w:t>
                  </w:r>
                  <w:proofErr w:type="spellEnd"/>
                  <w:r w:rsidRPr="00B02593">
                    <w:rPr>
                      <w:color w:val="auto"/>
                    </w:rPr>
                    <w:t xml:space="preserve"> Vorwissen über einfache Schaltkreise; jedoch kann der Versuchsaufbau auch vorgegeben werden. </w:t>
                  </w:r>
                </w:p>
              </w:txbxContent>
            </v:textbox>
            <w10:wrap type="square"/>
          </v:shape>
        </w:pict>
      </w:r>
      <w:r w:rsidR="009C1709" w:rsidRPr="009C1709">
        <w:rPr>
          <w:sz w:val="40"/>
          <w:szCs w:val="40"/>
          <w:u w:val="single"/>
        </w:rPr>
        <w:t>V5– Leitfähigkeit von Kochsalzlösungen</w:t>
      </w:r>
      <w:bookmarkEnd w:id="0"/>
    </w:p>
    <w:p w:rsidR="00857D98" w:rsidRPr="00857D98" w:rsidRDefault="00857D98" w:rsidP="00857D98"/>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9C1709" w:rsidRPr="009C5E28" w:rsidTr="00116CCC">
        <w:tc>
          <w:tcPr>
            <w:tcW w:w="9322" w:type="dxa"/>
            <w:gridSpan w:val="9"/>
            <w:shd w:val="clear" w:color="auto" w:fill="4F81BD"/>
            <w:vAlign w:val="center"/>
          </w:tcPr>
          <w:p w:rsidR="009C1709" w:rsidRPr="009C5E28" w:rsidRDefault="009C1709" w:rsidP="00116CCC">
            <w:pPr>
              <w:spacing w:after="0"/>
              <w:rPr>
                <w:b/>
                <w:bCs/>
              </w:rPr>
            </w:pPr>
            <w:r w:rsidRPr="009C5E28">
              <w:rPr>
                <w:b/>
                <w:bCs/>
              </w:rPr>
              <w:t>Gefahrenstoffe</w:t>
            </w:r>
          </w:p>
        </w:tc>
      </w:tr>
      <w:tr w:rsidR="009C1709" w:rsidRPr="009C5E28" w:rsidTr="00116CC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9C1709" w:rsidRPr="009C5E28" w:rsidRDefault="009C1709" w:rsidP="00116CCC">
            <w:pPr>
              <w:spacing w:after="0"/>
              <w:rPr>
                <w:b/>
                <w:bCs/>
              </w:rPr>
            </w:pPr>
            <w:r>
              <w:rPr>
                <w:sz w:val="20"/>
              </w:rPr>
              <w:t>Natriumchlorid</w:t>
            </w:r>
          </w:p>
        </w:tc>
        <w:tc>
          <w:tcPr>
            <w:tcW w:w="3177" w:type="dxa"/>
            <w:gridSpan w:val="3"/>
            <w:tcBorders>
              <w:top w:val="single" w:sz="8" w:space="0" w:color="4F81BD"/>
              <w:bottom w:val="single" w:sz="8" w:space="0" w:color="4F81BD"/>
            </w:tcBorders>
            <w:shd w:val="clear" w:color="auto" w:fill="auto"/>
            <w:vAlign w:val="center"/>
          </w:tcPr>
          <w:p w:rsidR="009C1709" w:rsidRPr="009C5E28" w:rsidRDefault="009C1709" w:rsidP="00116CCC">
            <w:pPr>
              <w:spacing w:after="0"/>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9C1709" w:rsidRPr="00655494" w:rsidRDefault="009C1709" w:rsidP="00116CCC">
            <w:pPr>
              <w:spacing w:after="0"/>
              <w:rPr>
                <w:rFonts w:asciiTheme="majorHAnsi" w:hAnsiTheme="majorHAnsi"/>
              </w:rPr>
            </w:pPr>
            <w:r>
              <w:t>/</w:t>
            </w:r>
          </w:p>
        </w:tc>
      </w:tr>
      <w:tr w:rsidR="009C1709" w:rsidRPr="009C5E28" w:rsidTr="00116CCC">
        <w:tc>
          <w:tcPr>
            <w:tcW w:w="1009" w:type="dxa"/>
            <w:tcBorders>
              <w:top w:val="single" w:sz="8" w:space="0" w:color="4F81BD"/>
              <w:left w:val="single" w:sz="8" w:space="0" w:color="4F81BD"/>
              <w:bottom w:val="single" w:sz="8" w:space="0" w:color="4F81BD"/>
            </w:tcBorders>
            <w:shd w:val="clear" w:color="auto" w:fill="auto"/>
            <w:vAlign w:val="center"/>
          </w:tcPr>
          <w:p w:rsidR="009C1709" w:rsidRPr="009C5E28" w:rsidRDefault="009C1709" w:rsidP="00116CCC">
            <w:pPr>
              <w:spacing w:after="0"/>
              <w:rPr>
                <w:b/>
                <w:bCs/>
              </w:rPr>
            </w:pPr>
            <w:r>
              <w:rPr>
                <w:b/>
                <w:noProof/>
                <w:lang w:eastAsia="de-DE"/>
              </w:rPr>
              <w:drawing>
                <wp:inline distT="0" distB="0" distL="0" distR="0">
                  <wp:extent cx="504190" cy="504190"/>
                  <wp:effectExtent l="19050" t="0" r="0" b="0"/>
                  <wp:docPr id="50"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8" cstate="print">
                            <a:duotone>
                              <a:schemeClr val="bg2">
                                <a:shade val="45000"/>
                                <a:satMod val="135000"/>
                              </a:schemeClr>
                              <a:prstClr val="white"/>
                            </a:duoton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C1709" w:rsidRPr="009C5E28" w:rsidRDefault="009C1709" w:rsidP="00116CCC">
            <w:pPr>
              <w:spacing w:after="0"/>
            </w:pPr>
            <w:r>
              <w:rPr>
                <w:noProof/>
                <w:lang w:eastAsia="de-DE"/>
              </w:rPr>
              <w:drawing>
                <wp:inline distT="0" distB="0" distL="0" distR="0">
                  <wp:extent cx="504190" cy="504190"/>
                  <wp:effectExtent l="19050" t="0" r="0" b="0"/>
                  <wp:docPr id="51"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9" cstate="print">
                            <a:duotone>
                              <a:schemeClr val="bg2">
                                <a:shade val="45000"/>
                                <a:satMod val="135000"/>
                              </a:schemeClr>
                              <a:prstClr val="white"/>
                            </a:duotone>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C1709" w:rsidRPr="009C5E28" w:rsidRDefault="009C1709" w:rsidP="00116CCC">
            <w:pPr>
              <w:spacing w:after="0"/>
            </w:pPr>
            <w:r>
              <w:rPr>
                <w:noProof/>
                <w:lang w:eastAsia="de-DE"/>
              </w:rPr>
              <w:drawing>
                <wp:inline distT="0" distB="0" distL="0" distR="0">
                  <wp:extent cx="504190" cy="504190"/>
                  <wp:effectExtent l="19050" t="0" r="0" b="0"/>
                  <wp:docPr id="52"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0" cstate="print">
                            <a:duotone>
                              <a:schemeClr val="bg2">
                                <a:shade val="45000"/>
                                <a:satMod val="135000"/>
                              </a:schemeClr>
                              <a:prstClr val="white"/>
                            </a:duotone>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C1709" w:rsidRPr="009C5E28" w:rsidRDefault="009C1709" w:rsidP="00116CCC">
            <w:pPr>
              <w:spacing w:after="0"/>
            </w:pPr>
            <w:r>
              <w:rPr>
                <w:noProof/>
                <w:lang w:eastAsia="de-DE"/>
              </w:rPr>
              <w:drawing>
                <wp:inline distT="0" distB="0" distL="0" distR="0">
                  <wp:extent cx="504190" cy="504190"/>
                  <wp:effectExtent l="0" t="0" r="0" b="0"/>
                  <wp:docPr id="53"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9C1709" w:rsidRPr="009C5E28" w:rsidRDefault="009C1709" w:rsidP="00116CCC">
            <w:pPr>
              <w:spacing w:after="0"/>
            </w:pPr>
            <w:r>
              <w:rPr>
                <w:noProof/>
                <w:lang w:eastAsia="de-DE"/>
              </w:rPr>
              <w:drawing>
                <wp:inline distT="0" distB="0" distL="0" distR="0">
                  <wp:extent cx="504190" cy="504190"/>
                  <wp:effectExtent l="0" t="0" r="0" b="0"/>
                  <wp:docPr id="54"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9C1709" w:rsidRPr="009C5E28" w:rsidRDefault="009C1709" w:rsidP="00116CCC">
            <w:pPr>
              <w:spacing w:after="0"/>
            </w:pPr>
            <w:r>
              <w:rPr>
                <w:noProof/>
                <w:lang w:eastAsia="de-DE"/>
              </w:rPr>
              <w:drawing>
                <wp:inline distT="0" distB="0" distL="0" distR="0">
                  <wp:extent cx="504190" cy="504190"/>
                  <wp:effectExtent l="0" t="0" r="0" b="0"/>
                  <wp:docPr id="55"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9C1709" w:rsidRPr="009C5E28" w:rsidRDefault="009C1709" w:rsidP="00116CCC">
            <w:pPr>
              <w:spacing w:after="0"/>
            </w:pPr>
            <w:r>
              <w:rPr>
                <w:noProof/>
                <w:lang w:eastAsia="de-DE"/>
              </w:rPr>
              <w:drawing>
                <wp:inline distT="0" distB="0" distL="0" distR="0">
                  <wp:extent cx="504190" cy="504190"/>
                  <wp:effectExtent l="0" t="0" r="0" b="0"/>
                  <wp:docPr id="56"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C1709" w:rsidRPr="009C5E28" w:rsidRDefault="009C1709" w:rsidP="00116CCC">
            <w:pPr>
              <w:spacing w:after="0"/>
            </w:pPr>
            <w:r>
              <w:rPr>
                <w:noProof/>
                <w:lang w:eastAsia="de-DE"/>
              </w:rPr>
              <w:drawing>
                <wp:inline distT="0" distB="0" distL="0" distR="0">
                  <wp:extent cx="511175" cy="511175"/>
                  <wp:effectExtent l="19050" t="0" r="3175" b="0"/>
                  <wp:docPr id="57"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5" cstate="print">
                            <a:duotone>
                              <a:schemeClr val="bg2">
                                <a:shade val="45000"/>
                                <a:satMod val="135000"/>
                              </a:schemeClr>
                              <a:prstClr val="white"/>
                            </a:duotone>
                          </a:blip>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9C1709" w:rsidRPr="009C5E28" w:rsidRDefault="009C1709" w:rsidP="00116CCC">
            <w:pPr>
              <w:spacing w:after="0"/>
            </w:pPr>
            <w:r>
              <w:rPr>
                <w:noProof/>
                <w:lang w:eastAsia="de-DE"/>
              </w:rPr>
              <w:drawing>
                <wp:inline distT="0" distB="0" distL="0" distR="0">
                  <wp:extent cx="504190" cy="504190"/>
                  <wp:effectExtent l="19050" t="0" r="0" b="0"/>
                  <wp:docPr id="58"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6" cstate="print">
                            <a:duotone>
                              <a:schemeClr val="bg2">
                                <a:shade val="45000"/>
                                <a:satMod val="135000"/>
                              </a:schemeClr>
                              <a:prstClr val="white"/>
                            </a:duotone>
                          </a:blip>
                          <a:stretch>
                            <a:fillRect/>
                          </a:stretch>
                        </pic:blipFill>
                        <pic:spPr bwMode="auto">
                          <a:xfrm>
                            <a:off x="0" y="0"/>
                            <a:ext cx="504190" cy="504190"/>
                          </a:xfrm>
                          <a:prstGeom prst="rect">
                            <a:avLst/>
                          </a:prstGeom>
                          <a:noFill/>
                          <a:ln>
                            <a:noFill/>
                          </a:ln>
                        </pic:spPr>
                      </pic:pic>
                    </a:graphicData>
                  </a:graphic>
                </wp:inline>
              </w:drawing>
            </w:r>
          </w:p>
        </w:tc>
      </w:tr>
    </w:tbl>
    <w:p w:rsidR="009C1709" w:rsidRPr="00A768C6" w:rsidRDefault="009C1709" w:rsidP="004164DA">
      <w:pPr>
        <w:pStyle w:val="Default"/>
        <w:spacing w:before="200" w:after="200" w:line="360" w:lineRule="auto"/>
        <w:ind w:left="1979" w:hanging="1979"/>
        <w:jc w:val="both"/>
        <w:rPr>
          <w:rFonts w:asciiTheme="majorHAnsi" w:hAnsiTheme="majorHAnsi" w:cs="Verdana"/>
          <w:sz w:val="22"/>
          <w:szCs w:val="22"/>
        </w:rPr>
      </w:pPr>
      <w:r w:rsidRPr="00A768C6">
        <w:rPr>
          <w:rFonts w:asciiTheme="majorHAnsi" w:hAnsiTheme="majorHAnsi"/>
          <w:sz w:val="22"/>
          <w:szCs w:val="22"/>
        </w:rPr>
        <w:t xml:space="preserve">Materialien: </w:t>
      </w:r>
      <w:r>
        <w:rPr>
          <w:rFonts w:asciiTheme="majorHAnsi" w:hAnsiTheme="majorHAnsi"/>
          <w:sz w:val="22"/>
          <w:szCs w:val="22"/>
        </w:rPr>
        <w:tab/>
        <w:t xml:space="preserve">9V-Blockbatterie, Kabelverbindungen, Krokodilklemmen, Glühlämpchen </w:t>
      </w:r>
    </w:p>
    <w:p w:rsidR="009C1709" w:rsidRPr="00A768C6" w:rsidRDefault="009C1709" w:rsidP="009C1709">
      <w:pPr>
        <w:pStyle w:val="Default"/>
        <w:spacing w:after="200" w:line="360" w:lineRule="auto"/>
        <w:jc w:val="both"/>
        <w:rPr>
          <w:rFonts w:asciiTheme="majorHAnsi" w:hAnsiTheme="majorHAnsi"/>
        </w:rPr>
      </w:pPr>
      <w:r>
        <w:rPr>
          <w:rFonts w:asciiTheme="majorHAnsi" w:hAnsiTheme="majorHAnsi"/>
          <w:sz w:val="22"/>
          <w:szCs w:val="22"/>
        </w:rPr>
        <w:t xml:space="preserve">Chemikalien: </w:t>
      </w:r>
      <w:r>
        <w:rPr>
          <w:rFonts w:asciiTheme="majorHAnsi" w:hAnsiTheme="majorHAnsi"/>
          <w:sz w:val="22"/>
          <w:szCs w:val="22"/>
        </w:rPr>
        <w:tab/>
        <w:t xml:space="preserve">           </w:t>
      </w:r>
      <w:r>
        <w:rPr>
          <w:rFonts w:asciiTheme="majorHAnsi" w:hAnsiTheme="majorHAnsi" w:cs="Verdana"/>
          <w:sz w:val="22"/>
          <w:szCs w:val="22"/>
        </w:rPr>
        <w:t>Kochsalz, demineralisiertes Wasser</w:t>
      </w:r>
    </w:p>
    <w:p w:rsidR="009C1709" w:rsidRDefault="009C1709" w:rsidP="009C1709">
      <w:pPr>
        <w:tabs>
          <w:tab w:val="left" w:pos="1701"/>
          <w:tab w:val="left" w:pos="1985"/>
        </w:tabs>
        <w:ind w:left="1980" w:hanging="1980"/>
        <w:rPr>
          <w:color w:val="auto"/>
        </w:rPr>
      </w:pPr>
      <w:r w:rsidRPr="002202E9">
        <w:rPr>
          <w:color w:val="auto"/>
        </w:rPr>
        <w:t>Durchführung:</w:t>
      </w:r>
      <w:r>
        <w:rPr>
          <w:color w:val="auto"/>
        </w:rPr>
        <w:t xml:space="preserve"> </w:t>
      </w:r>
      <w:r>
        <w:rPr>
          <w:color w:val="auto"/>
        </w:rPr>
        <w:tab/>
      </w:r>
      <w:r>
        <w:rPr>
          <w:color w:val="auto"/>
        </w:rPr>
        <w:tab/>
        <w:t xml:space="preserve">Eine Batterie und eine Glühlampe werden mit einander durch die Kabelverbindungen mit Krokodilklemmen verbunden. Dazwischen wird nun ein Becherglas mit demineralisiertem Wasser geschaltet und geprüft, ob das Lämpchen brennt. Dasselbe wird mit Kochsalz und einer Kochsalzlösung ausprobiert. </w:t>
      </w:r>
    </w:p>
    <w:p w:rsidR="009C1709" w:rsidRDefault="009C1709" w:rsidP="009C1709">
      <w:pPr>
        <w:tabs>
          <w:tab w:val="left" w:pos="1701"/>
          <w:tab w:val="left" w:pos="1985"/>
        </w:tabs>
        <w:ind w:left="1980" w:hanging="1980"/>
        <w:rPr>
          <w:color w:val="auto"/>
        </w:rPr>
      </w:pPr>
      <w:r w:rsidRPr="002202E9">
        <w:rPr>
          <w:color w:val="auto"/>
        </w:rPr>
        <w:t>Beobachtung</w:t>
      </w:r>
      <w:r>
        <w:rPr>
          <w:color w:val="auto"/>
        </w:rPr>
        <w:t xml:space="preserve">: </w:t>
      </w:r>
      <w:r>
        <w:rPr>
          <w:color w:val="auto"/>
        </w:rPr>
        <w:tab/>
      </w:r>
      <w:r>
        <w:rPr>
          <w:color w:val="auto"/>
        </w:rPr>
        <w:tab/>
        <w:t>Nur bei der Kochsalzlösung brennt das Lämpchen.</w:t>
      </w:r>
    </w:p>
    <w:p w:rsidR="009C1709" w:rsidRDefault="009C1709" w:rsidP="009C1709">
      <w:pPr>
        <w:pStyle w:val="Default"/>
        <w:spacing w:line="360" w:lineRule="auto"/>
        <w:jc w:val="center"/>
      </w:pPr>
      <w:r>
        <w:t></w:t>
      </w:r>
      <w:r w:rsidRPr="00691B35">
        <w:rPr>
          <w:rFonts w:asciiTheme="majorHAnsi" w:hAnsiTheme="majorHAnsi"/>
          <w:noProof/>
          <w:sz w:val="22"/>
          <w:szCs w:val="22"/>
          <w:lang w:eastAsia="de-DE"/>
        </w:rPr>
        <w:t xml:space="preserve"> </w:t>
      </w:r>
      <w:r>
        <w:rPr>
          <w:rFonts w:asciiTheme="majorHAnsi" w:hAnsiTheme="majorHAnsi"/>
          <w:noProof/>
          <w:sz w:val="22"/>
          <w:szCs w:val="22"/>
          <w:lang w:eastAsia="de-DE"/>
        </w:rPr>
        <w:drawing>
          <wp:inline distT="0" distB="0" distL="0" distR="0">
            <wp:extent cx="3790950" cy="2843213"/>
            <wp:effectExtent l="19050" t="0" r="0" b="0"/>
            <wp:docPr id="60" name="Grafik 59" descr="DSC007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0765.JPG"/>
                    <pic:cNvPicPr/>
                  </pic:nvPicPr>
                  <pic:blipFill>
                    <a:blip r:embed="rId17" cstate="print"/>
                    <a:stretch>
                      <a:fillRect/>
                    </a:stretch>
                  </pic:blipFill>
                  <pic:spPr>
                    <a:xfrm>
                      <a:off x="0" y="0"/>
                      <a:ext cx="3794731" cy="2846049"/>
                    </a:xfrm>
                    <a:prstGeom prst="rect">
                      <a:avLst/>
                    </a:prstGeom>
                  </pic:spPr>
                </pic:pic>
              </a:graphicData>
            </a:graphic>
          </wp:inline>
        </w:drawing>
      </w:r>
      <w:r>
        <w:rPr>
          <w:rFonts w:asciiTheme="majorHAnsi" w:hAnsiTheme="majorHAnsi"/>
          <w:noProof/>
          <w:sz w:val="22"/>
          <w:szCs w:val="22"/>
          <w:lang w:eastAsia="de-DE"/>
        </w:rPr>
        <w:t xml:space="preserve"> </w:t>
      </w:r>
      <w:r>
        <w:rPr>
          <w:rFonts w:asciiTheme="majorHAnsi" w:hAnsiTheme="majorHAnsi"/>
          <w:noProof/>
          <w:sz w:val="22"/>
          <w:szCs w:val="22"/>
          <w:lang w:eastAsia="de-DE"/>
        </w:rPr>
        <w:tab/>
      </w:r>
    </w:p>
    <w:p w:rsidR="009C1709" w:rsidRPr="000B6082" w:rsidRDefault="009C1709" w:rsidP="009C1709">
      <w:pPr>
        <w:tabs>
          <w:tab w:val="left" w:pos="1701"/>
          <w:tab w:val="left" w:pos="1985"/>
        </w:tabs>
        <w:ind w:left="1980" w:hanging="1980"/>
        <w:rPr>
          <w:color w:val="auto"/>
          <w:sz w:val="18"/>
          <w:szCs w:val="18"/>
        </w:rPr>
      </w:pPr>
      <w:r>
        <w:rPr>
          <w:sz w:val="18"/>
          <w:szCs w:val="18"/>
        </w:rPr>
        <w:tab/>
      </w:r>
      <w:r w:rsidRPr="000B6082">
        <w:rPr>
          <w:sz w:val="18"/>
          <w:szCs w:val="18"/>
        </w:rPr>
        <w:t xml:space="preserve">Abb. </w:t>
      </w:r>
      <w:r>
        <w:rPr>
          <w:sz w:val="18"/>
          <w:szCs w:val="18"/>
        </w:rPr>
        <w:t>8</w:t>
      </w:r>
      <w:r w:rsidRPr="000B6082">
        <w:rPr>
          <w:sz w:val="18"/>
          <w:szCs w:val="18"/>
        </w:rPr>
        <w:t xml:space="preserve"> - </w:t>
      </w:r>
      <w:r w:rsidRPr="000B6082">
        <w:rPr>
          <w:noProof/>
          <w:sz w:val="18"/>
          <w:szCs w:val="18"/>
        </w:rPr>
        <w:t xml:space="preserve"> </w:t>
      </w:r>
      <w:r>
        <w:rPr>
          <w:noProof/>
          <w:sz w:val="18"/>
          <w:szCs w:val="18"/>
        </w:rPr>
        <w:t>Die Lampe brennt bei Verwendung von Kochsalzlösung.</w:t>
      </w:r>
    </w:p>
    <w:p w:rsidR="009C1709" w:rsidRPr="00027FF6" w:rsidRDefault="009C1709" w:rsidP="009C1709">
      <w:pPr>
        <w:tabs>
          <w:tab w:val="left" w:pos="1701"/>
          <w:tab w:val="left" w:pos="1985"/>
        </w:tabs>
        <w:rPr>
          <w:color w:val="auto"/>
        </w:rPr>
      </w:pPr>
      <w:r w:rsidRPr="00027FF6">
        <w:rPr>
          <w:color w:val="auto"/>
        </w:rPr>
        <w:lastRenderedPageBreak/>
        <w:t xml:space="preserve">Deutung: </w:t>
      </w:r>
      <w:r w:rsidRPr="00027FF6">
        <w:rPr>
          <w:color w:val="auto"/>
        </w:rPr>
        <w:tab/>
      </w:r>
      <w:r w:rsidRPr="00027FF6">
        <w:rPr>
          <w:color w:val="auto"/>
        </w:rPr>
        <w:tab/>
      </w:r>
      <w:r>
        <w:rPr>
          <w:color w:val="auto"/>
        </w:rPr>
        <w:t>Nur die Kochsalzlösung leitet den Strom.</w:t>
      </w:r>
    </w:p>
    <w:p w:rsidR="009C1709" w:rsidRPr="00027FF6" w:rsidRDefault="009C1709" w:rsidP="009C1709">
      <w:pPr>
        <w:tabs>
          <w:tab w:val="left" w:pos="1701"/>
          <w:tab w:val="left" w:pos="1985"/>
        </w:tabs>
        <w:ind w:left="1979" w:hanging="1979"/>
        <w:rPr>
          <w:color w:val="auto"/>
        </w:rPr>
      </w:pPr>
      <w:r w:rsidRPr="00027FF6">
        <w:rPr>
          <w:color w:val="auto"/>
        </w:rPr>
        <w:t xml:space="preserve">Entsorgung: </w:t>
      </w:r>
      <w:r w:rsidRPr="00027FF6">
        <w:rPr>
          <w:color w:val="auto"/>
        </w:rPr>
        <w:tab/>
      </w:r>
      <w:r w:rsidRPr="00027FF6">
        <w:rPr>
          <w:color w:val="auto"/>
        </w:rPr>
        <w:tab/>
        <w:t>Das Kochsalz kann in den Abfall</w:t>
      </w:r>
      <w:r>
        <w:rPr>
          <w:color w:val="auto"/>
        </w:rPr>
        <w:t>, die übrigen Lösungen in den Abguss</w:t>
      </w:r>
      <w:r w:rsidRPr="00027FF6">
        <w:rPr>
          <w:color w:val="auto"/>
        </w:rPr>
        <w:t xml:space="preserve"> gegeben werden.</w:t>
      </w:r>
    </w:p>
    <w:p w:rsidR="009C1709" w:rsidRPr="00027FF6" w:rsidRDefault="00AB2111" w:rsidP="009C1709">
      <w:pPr>
        <w:tabs>
          <w:tab w:val="left" w:pos="1701"/>
          <w:tab w:val="left" w:pos="1985"/>
        </w:tabs>
        <w:rPr>
          <w:color w:val="auto"/>
        </w:rPr>
      </w:pPr>
      <w:r>
        <w:rPr>
          <w:color w:val="auto"/>
        </w:rPr>
      </w:r>
      <w:r>
        <w:rPr>
          <w:color w:val="auto"/>
        </w:rPr>
        <w:pict>
          <v:shape id="_x0000_s1029" type="#_x0000_t202" style="width:462.45pt;height:96.2pt;mso-position-horizontal-relative:char;mso-position-vertical-relative:line;mso-width-relative:margin;mso-height-relative:margin" fillcolor="white [3201]" strokecolor="#c0504d [3205]" strokeweight="1pt">
            <v:stroke dashstyle="dash"/>
            <v:shadow color="#868686"/>
            <v:textbox style="mso-next-textbox:#_x0000_s1029">
              <w:txbxContent>
                <w:p w:rsidR="009C1709" w:rsidRPr="0054507A" w:rsidRDefault="009C1709" w:rsidP="009C1709">
                  <w:pPr>
                    <w:tabs>
                      <w:tab w:val="left" w:pos="1701"/>
                      <w:tab w:val="left" w:pos="1985"/>
                    </w:tabs>
                    <w:rPr>
                      <w:b/>
                      <w:color w:val="auto"/>
                    </w:rPr>
                  </w:pPr>
                  <w:r>
                    <w:rPr>
                      <w:color w:val="auto"/>
                    </w:rPr>
                    <w:t xml:space="preserve">Neben demineralisiertem Wasser und festem Kochsalz könnte auch zum Vergleich die Leitfähigkeiten anderer Stoffe herangezogen werden, je nachdem wie vertraut die </w:t>
                  </w:r>
                  <w:proofErr w:type="spellStart"/>
                  <w:r>
                    <w:rPr>
                      <w:color w:val="auto"/>
                    </w:rPr>
                    <w:t>SuS</w:t>
                  </w:r>
                  <w:proofErr w:type="spellEnd"/>
                  <w:r>
                    <w:rPr>
                      <w:color w:val="auto"/>
                    </w:rPr>
                    <w:t xml:space="preserve"> damit sind. Weitere Eigenschaften, die in einer </w:t>
                  </w:r>
                  <w:proofErr w:type="spellStart"/>
                  <w:r>
                    <w:rPr>
                      <w:color w:val="auto"/>
                    </w:rPr>
                    <w:t>Stationenarbeit</w:t>
                  </w:r>
                  <w:proofErr w:type="spellEnd"/>
                  <w:r>
                    <w:rPr>
                      <w:color w:val="auto"/>
                    </w:rPr>
                    <w:t xml:space="preserve"> untersucht werden können sind z.B. Löslichkeit, Dichte, Flammenfärbung, Kristalle unter der Lupe oder den Stoff mit den Sinnen zu untersuchen.</w:t>
                  </w:r>
                </w:p>
              </w:txbxContent>
            </v:textbox>
            <w10:wrap type="none"/>
            <w10:anchorlock/>
          </v:shape>
        </w:pict>
      </w:r>
    </w:p>
    <w:p w:rsidR="004465A0" w:rsidRDefault="004465A0"/>
    <w:sectPr w:rsidR="004465A0" w:rsidSect="004465A0">
      <w:headerReference w:type="default" r:id="rId18"/>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4B6" w:rsidRDefault="00A024B6" w:rsidP="004164DA">
      <w:pPr>
        <w:spacing w:after="0" w:line="240" w:lineRule="auto"/>
      </w:pPr>
      <w:r>
        <w:separator/>
      </w:r>
    </w:p>
  </w:endnote>
  <w:endnote w:type="continuationSeparator" w:id="0">
    <w:p w:rsidR="00A024B6" w:rsidRDefault="00A024B6" w:rsidP="004164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4B6" w:rsidRDefault="00A024B6" w:rsidP="004164DA">
      <w:pPr>
        <w:spacing w:after="0" w:line="240" w:lineRule="auto"/>
      </w:pPr>
      <w:r>
        <w:separator/>
      </w:r>
    </w:p>
  </w:footnote>
  <w:footnote w:type="continuationSeparator" w:id="0">
    <w:p w:rsidR="00A024B6" w:rsidRDefault="00A024B6" w:rsidP="004164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84343485"/>
      <w:docPartObj>
        <w:docPartGallery w:val="Page Numbers (Top of Page)"/>
        <w:docPartUnique/>
      </w:docPartObj>
    </w:sdtPr>
    <w:sdtContent>
      <w:p w:rsidR="004164DA" w:rsidRDefault="004164DA" w:rsidP="004164DA">
        <w:pPr>
          <w:pStyle w:val="Kopfzeile"/>
          <w:tabs>
            <w:tab w:val="left" w:pos="0"/>
            <w:tab w:val="left" w:pos="284"/>
          </w:tabs>
          <w:jc w:val="right"/>
          <w:rPr>
            <w:rFonts w:asciiTheme="majorHAnsi" w:hAnsiTheme="majorHAnsi"/>
            <w:sz w:val="20"/>
            <w:szCs w:val="20"/>
          </w:rPr>
        </w:pPr>
        <w:fldSimple w:instr=" STYLEREF  &quot;Überschrift 1&quot;  \* MERGEFORMAT ">
          <w:r w:rsidRPr="004164DA">
            <w:rPr>
              <w:b/>
              <w:bCs/>
              <w:noProof/>
            </w:rPr>
            <w:t>V5– Leitfähigkeit von Kochsalzlösungen</w:t>
          </w:r>
        </w:fldSimple>
        <w:r>
          <w:rPr>
            <w:rFonts w:asciiTheme="majorHAnsi" w:hAnsiTheme="majorHAnsi"/>
            <w:sz w:val="20"/>
            <w:szCs w:val="20"/>
          </w:rPr>
          <w:tab/>
        </w:r>
        <w:r>
          <w:rPr>
            <w:rFonts w:asciiTheme="majorHAnsi" w:hAnsiTheme="majorHAnsi"/>
            <w:sz w:val="20"/>
            <w:szCs w:val="20"/>
          </w:rPr>
          <w:tab/>
        </w:r>
        <w:r>
          <w:rPr>
            <w:rFonts w:asciiTheme="majorHAnsi" w:hAnsiTheme="majorHAnsi" w:cs="Arial"/>
            <w:sz w:val="20"/>
            <w:szCs w:val="20"/>
          </w:rPr>
          <w:t xml:space="preserve"> </w:t>
        </w:r>
        <w:r>
          <w:rPr>
            <w:rFonts w:asciiTheme="majorHAnsi" w:hAnsiTheme="majorHAnsi"/>
            <w:sz w:val="20"/>
            <w:szCs w:val="20"/>
          </w:rPr>
          <w:fldChar w:fldCharType="begin"/>
        </w:r>
        <w:r>
          <w:rPr>
            <w:rFonts w:asciiTheme="majorHAnsi" w:hAnsiTheme="majorHAnsi"/>
            <w:sz w:val="20"/>
            <w:szCs w:val="20"/>
          </w:rPr>
          <w:instrText xml:space="preserve"> PAGE   \* MERGEFORMAT </w:instrText>
        </w:r>
        <w:r>
          <w:rPr>
            <w:rFonts w:asciiTheme="majorHAnsi" w:hAnsiTheme="majorHAnsi"/>
            <w:sz w:val="20"/>
            <w:szCs w:val="20"/>
          </w:rPr>
          <w:fldChar w:fldCharType="separate"/>
        </w:r>
        <w:r>
          <w:rPr>
            <w:rFonts w:asciiTheme="majorHAnsi" w:hAnsiTheme="majorHAnsi"/>
            <w:noProof/>
            <w:sz w:val="20"/>
            <w:szCs w:val="20"/>
          </w:rPr>
          <w:t>1</w:t>
        </w:r>
        <w:r>
          <w:rPr>
            <w:rFonts w:asciiTheme="majorHAnsi" w:hAnsiTheme="majorHAnsi"/>
            <w:sz w:val="20"/>
            <w:szCs w:val="20"/>
          </w:rPr>
          <w:fldChar w:fldCharType="end"/>
        </w:r>
      </w:p>
    </w:sdtContent>
  </w:sdt>
  <w:p w:rsidR="004164DA" w:rsidRDefault="004164DA" w:rsidP="004164DA">
    <w:pPr>
      <w:pStyle w:val="Kopfzeile"/>
      <w:rPr>
        <w:rFonts w:asciiTheme="majorHAnsi" w:hAnsiTheme="majorHAnsi"/>
        <w:sz w:val="20"/>
        <w:szCs w:val="20"/>
      </w:rPr>
    </w:pPr>
    <w:r>
      <w:pict>
        <v:shapetype id="_x0000_t32" coordsize="21600,21600" o:spt="32" o:oned="t" path="m,l21600,21600e" filled="f">
          <v:path arrowok="t" fillok="f" o:connecttype="none"/>
          <o:lock v:ext="edit" shapetype="t"/>
        </v:shapetype>
        <v:shape id="_x0000_s4097" type="#_x0000_t32" style="position:absolute;left:0;text-align:left;margin-left:-3.35pt;margin-top:3.05pt;width:462pt;height:.05pt;flip:x;z-index:251660288" o:connectortype="straight"/>
      </w:pict>
    </w:r>
  </w:p>
  <w:p w:rsidR="004164DA" w:rsidRDefault="004164DA">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5122"/>
    <o:shapelayout v:ext="edit">
      <o:idmap v:ext="edit" data="4"/>
      <o:rules v:ext="edit">
        <o:r id="V:Rule1" type="connector" idref="#_x0000_s4097"/>
      </o:rules>
    </o:shapelayout>
  </w:hdrShapeDefaults>
  <w:footnotePr>
    <w:footnote w:id="-1"/>
    <w:footnote w:id="0"/>
  </w:footnotePr>
  <w:endnotePr>
    <w:endnote w:id="-1"/>
    <w:endnote w:id="0"/>
  </w:endnotePr>
  <w:compat/>
  <w:rsids>
    <w:rsidRoot w:val="009C1709"/>
    <w:rsid w:val="00293ED5"/>
    <w:rsid w:val="004164DA"/>
    <w:rsid w:val="004465A0"/>
    <w:rsid w:val="005650B7"/>
    <w:rsid w:val="006529F4"/>
    <w:rsid w:val="00857D98"/>
    <w:rsid w:val="009C1709"/>
    <w:rsid w:val="00A024B6"/>
    <w:rsid w:val="00A72578"/>
    <w:rsid w:val="00AB2111"/>
    <w:rsid w:val="00E60FD7"/>
    <w:rsid w:val="00FD3E1F"/>
    <w:rsid w:val="00FE6EC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C1709"/>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C1709"/>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C1709"/>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C1709"/>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C1709"/>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C1709"/>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C1709"/>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C170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C170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C170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C1709"/>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9C1709"/>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9C1709"/>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9C1709"/>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9C1709"/>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9C1709"/>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9C1709"/>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9C1709"/>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9C1709"/>
    <w:rPr>
      <w:rFonts w:asciiTheme="majorHAnsi" w:eastAsiaTheme="majorEastAsia" w:hAnsiTheme="majorHAnsi" w:cstheme="majorBidi"/>
      <w:i/>
      <w:iCs/>
      <w:color w:val="404040" w:themeColor="text1" w:themeTint="BF"/>
      <w:sz w:val="20"/>
      <w:szCs w:val="20"/>
    </w:rPr>
  </w:style>
  <w:style w:type="paragraph" w:customStyle="1" w:styleId="Default">
    <w:name w:val="Default"/>
    <w:rsid w:val="009C1709"/>
    <w:pPr>
      <w:autoSpaceDE w:val="0"/>
      <w:autoSpaceDN w:val="0"/>
      <w:adjustRightInd w:val="0"/>
      <w:spacing w:after="0" w:line="240" w:lineRule="auto"/>
    </w:pPr>
    <w:rPr>
      <w:rFonts w:ascii="Symbol" w:hAnsi="Symbol" w:cs="Symbol"/>
      <w:color w:val="000000"/>
      <w:sz w:val="24"/>
      <w:szCs w:val="24"/>
    </w:rPr>
  </w:style>
  <w:style w:type="paragraph" w:styleId="Sprechblasentext">
    <w:name w:val="Balloon Text"/>
    <w:basedOn w:val="Standard"/>
    <w:link w:val="SprechblasentextZchn"/>
    <w:uiPriority w:val="99"/>
    <w:semiHidden/>
    <w:unhideWhenUsed/>
    <w:rsid w:val="009C170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C1709"/>
    <w:rPr>
      <w:rFonts w:ascii="Tahoma" w:hAnsi="Tahoma" w:cs="Tahoma"/>
      <w:color w:val="1D1B11" w:themeColor="background2" w:themeShade="1A"/>
      <w:sz w:val="16"/>
      <w:szCs w:val="16"/>
    </w:rPr>
  </w:style>
  <w:style w:type="paragraph" w:styleId="Kopfzeile">
    <w:name w:val="header"/>
    <w:basedOn w:val="Standard"/>
    <w:link w:val="KopfzeileZchn"/>
    <w:uiPriority w:val="99"/>
    <w:semiHidden/>
    <w:unhideWhenUsed/>
    <w:rsid w:val="004164D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4164DA"/>
    <w:rPr>
      <w:rFonts w:ascii="Cambria" w:hAnsi="Cambria"/>
      <w:color w:val="1D1B11" w:themeColor="background2" w:themeShade="1A"/>
    </w:rPr>
  </w:style>
  <w:style w:type="paragraph" w:styleId="Fuzeile">
    <w:name w:val="footer"/>
    <w:basedOn w:val="Standard"/>
    <w:link w:val="FuzeileZchn"/>
    <w:uiPriority w:val="99"/>
    <w:semiHidden/>
    <w:unhideWhenUsed/>
    <w:rsid w:val="004164DA"/>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4164DA"/>
    <w:rPr>
      <w:rFonts w:ascii="Cambria" w:hAnsi="Cambria"/>
      <w:color w:val="1D1B11" w:themeColor="background2" w:themeShade="1A"/>
    </w:rPr>
  </w:style>
</w:styles>
</file>

<file path=word/webSettings.xml><?xml version="1.0" encoding="utf-8"?>
<w:webSettings xmlns:r="http://schemas.openxmlformats.org/officeDocument/2006/relationships" xmlns:w="http://schemas.openxmlformats.org/wordprocessingml/2006/main">
  <w:divs>
    <w:div w:id="130150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055F9D-66A4-4030-B6F5-DFD75431C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117</Words>
  <Characters>739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Nicolai</dc:creator>
  <cp:lastModifiedBy>Nicolai</cp:lastModifiedBy>
  <cp:revision>4</cp:revision>
  <dcterms:created xsi:type="dcterms:W3CDTF">2013-08-13T16:55:00Z</dcterms:created>
  <dcterms:modified xsi:type="dcterms:W3CDTF">2013-08-14T18:01:00Z</dcterms:modified>
</cp:coreProperties>
</file>