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79" w:rsidRPr="00897979" w:rsidRDefault="00897979" w:rsidP="00E07EF3">
      <w:pPr>
        <w:pStyle w:val="berschrift1"/>
        <w:numPr>
          <w:ilvl w:val="0"/>
          <w:numId w:val="0"/>
        </w:numPr>
        <w:ind w:left="432" w:hanging="432"/>
        <w:jc w:val="center"/>
        <w:rPr>
          <w:sz w:val="40"/>
          <w:szCs w:val="40"/>
          <w:u w:val="single"/>
        </w:rPr>
      </w:pPr>
      <w:bookmarkStart w:id="0" w:name="_Toc362846717"/>
      <w:r w:rsidRPr="00897979">
        <w:rPr>
          <w:sz w:val="40"/>
          <w:szCs w:val="40"/>
          <w:u w:val="single"/>
        </w:rPr>
        <w:t xml:space="preserve">V </w:t>
      </w:r>
      <w:r>
        <w:rPr>
          <w:sz w:val="40"/>
          <w:szCs w:val="40"/>
          <w:u w:val="single"/>
        </w:rPr>
        <w:t>6</w:t>
      </w:r>
      <w:r w:rsidRPr="00897979">
        <w:rPr>
          <w:sz w:val="40"/>
          <w:szCs w:val="40"/>
          <w:u w:val="single"/>
        </w:rPr>
        <w:t xml:space="preserve"> – Die </w:t>
      </w:r>
      <w:proofErr w:type="spellStart"/>
      <w:r w:rsidRPr="00897979">
        <w:rPr>
          <w:sz w:val="40"/>
          <w:szCs w:val="40"/>
          <w:u w:val="single"/>
        </w:rPr>
        <w:t>Eisangel</w:t>
      </w:r>
      <w:bookmarkEnd w:id="0"/>
      <w:proofErr w:type="spellEnd"/>
    </w:p>
    <w:p w:rsidR="00897979" w:rsidRDefault="006D09BD" w:rsidP="00897979">
      <w:pPr>
        <w:spacing w:after="0"/>
      </w:pPr>
      <w:r w:rsidRPr="006D09BD">
        <w:rPr>
          <w:color w:val="auto"/>
        </w:rPr>
      </w:r>
      <w:r w:rsidRPr="006D09BD">
        <w:rPr>
          <w:color w:val="auto"/>
        </w:rPr>
        <w:pict>
          <v:shapetype id="_x0000_t202" coordsize="21600,21600" o:spt="202" path="m,l,21600r21600,l21600,xe">
            <v:stroke joinstyle="miter"/>
            <v:path gradientshapeok="t" o:connecttype="rect"/>
          </v:shapetype>
          <v:shape id="_x0000_s1027" type="#_x0000_t202" style="width:462.45pt;height:40.25pt;mso-position-horizontal-relative:char;mso-position-vertical-relative:line;mso-width-relative:margin;mso-height-relative:margin" fillcolor="white [3201]" strokecolor="#4f81bd [3204]" strokeweight="1pt">
            <v:stroke dashstyle="dash"/>
            <v:shadow color="#868686"/>
            <v:textbox style="mso-next-textbox:#_x0000_s1027">
              <w:txbxContent>
                <w:p w:rsidR="00897979" w:rsidRPr="0054507A" w:rsidRDefault="00897979" w:rsidP="00897979">
                  <w:pPr>
                    <w:tabs>
                      <w:tab w:val="left" w:pos="1701"/>
                      <w:tab w:val="left" w:pos="1985"/>
                    </w:tabs>
                    <w:rPr>
                      <w:b/>
                      <w:color w:val="auto"/>
                    </w:rPr>
                  </w:pPr>
                  <w:r>
                    <w:rPr>
                      <w:color w:val="auto"/>
                    </w:rPr>
                    <w:t>Dieser Versuch ist ein recht einfacher Handversuch und eignet sich gut als Modellversuch für die Verwendung von Natriumchlorid als Auftausalz/ Streumittel.</w:t>
                  </w:r>
                </w:p>
              </w:txbxContent>
            </v:textbox>
            <w10:wrap type="none"/>
            <w10:anchorlock/>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897979" w:rsidRPr="009C5E28" w:rsidTr="00116CCC">
        <w:tc>
          <w:tcPr>
            <w:tcW w:w="9322" w:type="dxa"/>
            <w:gridSpan w:val="9"/>
            <w:shd w:val="clear" w:color="auto" w:fill="4F81BD"/>
            <w:vAlign w:val="center"/>
          </w:tcPr>
          <w:p w:rsidR="00897979" w:rsidRPr="009C5E28" w:rsidRDefault="00897979" w:rsidP="00116CCC">
            <w:pPr>
              <w:spacing w:after="0"/>
              <w:rPr>
                <w:b/>
                <w:bCs/>
              </w:rPr>
            </w:pPr>
            <w:r w:rsidRPr="009C5E28">
              <w:rPr>
                <w:b/>
                <w:bCs/>
              </w:rPr>
              <w:t>Gefahrenstoffe</w:t>
            </w:r>
          </w:p>
        </w:tc>
      </w:tr>
      <w:tr w:rsidR="00897979" w:rsidRPr="009C5E28" w:rsidTr="00116CC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97979" w:rsidRPr="009C5E28" w:rsidRDefault="00897979" w:rsidP="00116CCC">
            <w:pPr>
              <w:spacing w:after="0"/>
              <w:rPr>
                <w:b/>
                <w:bCs/>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rsidR="00897979" w:rsidRPr="009C5E28" w:rsidRDefault="00897979" w:rsidP="00116CCC">
            <w:pPr>
              <w:spacing w:after="0"/>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97979" w:rsidRPr="00655494" w:rsidRDefault="00897979" w:rsidP="00116CCC">
            <w:pPr>
              <w:spacing w:after="0"/>
              <w:rPr>
                <w:rFonts w:asciiTheme="majorHAnsi" w:hAnsiTheme="majorHAnsi"/>
              </w:rPr>
            </w:pPr>
            <w:r>
              <w:t>/</w:t>
            </w:r>
          </w:p>
        </w:tc>
      </w:tr>
      <w:tr w:rsidR="00897979" w:rsidRPr="009C5E28" w:rsidTr="00116CCC">
        <w:tc>
          <w:tcPr>
            <w:tcW w:w="1009" w:type="dxa"/>
            <w:tcBorders>
              <w:top w:val="single" w:sz="8" w:space="0" w:color="4F81BD"/>
              <w:left w:val="single" w:sz="8" w:space="0" w:color="4F81BD"/>
              <w:bottom w:val="single" w:sz="8" w:space="0" w:color="4F81BD"/>
            </w:tcBorders>
            <w:shd w:val="clear" w:color="auto" w:fill="auto"/>
            <w:vAlign w:val="center"/>
          </w:tcPr>
          <w:p w:rsidR="00897979" w:rsidRPr="009C5E28" w:rsidRDefault="00897979" w:rsidP="00116CCC">
            <w:pPr>
              <w:spacing w:after="0"/>
              <w:rPr>
                <w:b/>
                <w:bCs/>
              </w:rPr>
            </w:pPr>
            <w:r>
              <w:rPr>
                <w:b/>
                <w:noProof/>
                <w:lang w:eastAsia="de-DE"/>
              </w:rPr>
              <w:drawing>
                <wp:inline distT="0" distB="0" distL="0" distR="0">
                  <wp:extent cx="504190" cy="504190"/>
                  <wp:effectExtent l="19050" t="0" r="0" b="0"/>
                  <wp:docPr id="6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7979" w:rsidRPr="009C5E28" w:rsidRDefault="00897979" w:rsidP="00116CCC">
            <w:pPr>
              <w:spacing w:after="0"/>
            </w:pPr>
            <w:r>
              <w:rPr>
                <w:noProof/>
                <w:lang w:eastAsia="de-DE"/>
              </w:rPr>
              <w:drawing>
                <wp:inline distT="0" distB="0" distL="0" distR="0">
                  <wp:extent cx="504190" cy="504190"/>
                  <wp:effectExtent l="19050" t="0" r="0" b="0"/>
                  <wp:docPr id="6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7979" w:rsidRPr="009C5E28" w:rsidRDefault="00897979" w:rsidP="00116CCC">
            <w:pPr>
              <w:spacing w:after="0"/>
            </w:pPr>
            <w:r>
              <w:rPr>
                <w:noProof/>
                <w:lang w:eastAsia="de-DE"/>
              </w:rPr>
              <w:drawing>
                <wp:inline distT="0" distB="0" distL="0" distR="0">
                  <wp:extent cx="504190" cy="504190"/>
                  <wp:effectExtent l="19050" t="0" r="0" b="0"/>
                  <wp:docPr id="6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7979" w:rsidRPr="009C5E28" w:rsidRDefault="00897979" w:rsidP="00116CCC">
            <w:pPr>
              <w:spacing w:after="0"/>
            </w:pPr>
            <w:r>
              <w:rPr>
                <w:noProof/>
                <w:lang w:eastAsia="de-DE"/>
              </w:rPr>
              <w:drawing>
                <wp:inline distT="0" distB="0" distL="0" distR="0">
                  <wp:extent cx="504190" cy="504190"/>
                  <wp:effectExtent l="0" t="0" r="0" b="0"/>
                  <wp:docPr id="6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97979" w:rsidRPr="009C5E28" w:rsidRDefault="00897979" w:rsidP="00116CCC">
            <w:pPr>
              <w:spacing w:after="0"/>
            </w:pPr>
            <w:r>
              <w:rPr>
                <w:noProof/>
                <w:lang w:eastAsia="de-DE"/>
              </w:rPr>
              <w:drawing>
                <wp:inline distT="0" distB="0" distL="0" distR="0">
                  <wp:extent cx="504190" cy="504190"/>
                  <wp:effectExtent l="0" t="0" r="0" b="0"/>
                  <wp:docPr id="6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97979" w:rsidRPr="009C5E28" w:rsidRDefault="00897979" w:rsidP="00116CCC">
            <w:pPr>
              <w:spacing w:after="0"/>
            </w:pPr>
            <w:r>
              <w:rPr>
                <w:noProof/>
                <w:lang w:eastAsia="de-DE"/>
              </w:rPr>
              <w:drawing>
                <wp:inline distT="0" distB="0" distL="0" distR="0">
                  <wp:extent cx="504190" cy="504190"/>
                  <wp:effectExtent l="0" t="0" r="0" b="0"/>
                  <wp:docPr id="6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97979" w:rsidRPr="009C5E28" w:rsidRDefault="00897979" w:rsidP="00116CCC">
            <w:pPr>
              <w:spacing w:after="0"/>
            </w:pPr>
            <w:r>
              <w:rPr>
                <w:noProof/>
                <w:lang w:eastAsia="de-DE"/>
              </w:rPr>
              <w:drawing>
                <wp:inline distT="0" distB="0" distL="0" distR="0">
                  <wp:extent cx="504190" cy="504190"/>
                  <wp:effectExtent l="0" t="0" r="0" b="0"/>
                  <wp:docPr id="6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7979" w:rsidRPr="009C5E28" w:rsidRDefault="00897979" w:rsidP="00116CCC">
            <w:pPr>
              <w:spacing w:after="0"/>
            </w:pPr>
            <w:r>
              <w:rPr>
                <w:noProof/>
                <w:lang w:eastAsia="de-DE"/>
              </w:rPr>
              <w:drawing>
                <wp:inline distT="0" distB="0" distL="0" distR="0">
                  <wp:extent cx="511175" cy="511175"/>
                  <wp:effectExtent l="19050" t="0" r="3175" b="0"/>
                  <wp:docPr id="7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duotone>
                              <a:schemeClr val="bg2">
                                <a:shade val="45000"/>
                                <a:satMod val="135000"/>
                              </a:schemeClr>
                              <a:prstClr val="white"/>
                            </a:duotone>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97979" w:rsidRPr="009C5E28" w:rsidRDefault="00897979" w:rsidP="00116CCC">
            <w:pPr>
              <w:spacing w:after="0"/>
            </w:pPr>
            <w:r>
              <w:rPr>
                <w:noProof/>
                <w:lang w:eastAsia="de-DE"/>
              </w:rPr>
              <w:drawing>
                <wp:inline distT="0" distB="0" distL="0" distR="0">
                  <wp:extent cx="504190" cy="504190"/>
                  <wp:effectExtent l="19050" t="0" r="0" b="0"/>
                  <wp:docPr id="7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r>
    </w:tbl>
    <w:p w:rsidR="00897979" w:rsidRDefault="00897979" w:rsidP="00897979">
      <w:pPr>
        <w:tabs>
          <w:tab w:val="left" w:pos="1701"/>
          <w:tab w:val="left" w:pos="1985"/>
        </w:tabs>
        <w:ind w:left="1980" w:hanging="1980"/>
      </w:pPr>
    </w:p>
    <w:p w:rsidR="00897979" w:rsidRPr="00A768C6" w:rsidRDefault="00897979" w:rsidP="00897979">
      <w:pPr>
        <w:pStyle w:val="Default"/>
        <w:spacing w:after="200" w:line="360" w:lineRule="auto"/>
        <w:ind w:left="1979" w:hanging="1979"/>
        <w:jc w:val="both"/>
        <w:rPr>
          <w:rFonts w:asciiTheme="majorHAnsi" w:hAnsiTheme="majorHAnsi" w:cs="Verdana"/>
          <w:sz w:val="22"/>
          <w:szCs w:val="22"/>
        </w:rPr>
      </w:pPr>
      <w:r>
        <w:rPr>
          <w:rFonts w:asciiTheme="majorHAnsi" w:hAnsiTheme="majorHAnsi"/>
          <w:sz w:val="22"/>
          <w:szCs w:val="22"/>
        </w:rPr>
        <w:t>Materialien:</w:t>
      </w:r>
      <w:r>
        <w:rPr>
          <w:rFonts w:asciiTheme="majorHAnsi" w:hAnsiTheme="majorHAnsi"/>
          <w:sz w:val="22"/>
          <w:szCs w:val="22"/>
        </w:rPr>
        <w:tab/>
        <w:t>Bindfaden,  Becherglas (100 mL)</w:t>
      </w:r>
    </w:p>
    <w:p w:rsidR="00897979" w:rsidRPr="00A768C6" w:rsidRDefault="00897979" w:rsidP="00897979">
      <w:pPr>
        <w:pStyle w:val="Default"/>
        <w:spacing w:after="200" w:line="360" w:lineRule="auto"/>
        <w:jc w:val="both"/>
        <w:rPr>
          <w:rFonts w:asciiTheme="majorHAnsi" w:hAnsiTheme="majorHAnsi"/>
        </w:rPr>
      </w:pPr>
      <w:r>
        <w:rPr>
          <w:rFonts w:asciiTheme="majorHAnsi" w:hAnsiTheme="majorHAnsi"/>
          <w:sz w:val="22"/>
          <w:szCs w:val="22"/>
        </w:rPr>
        <w:t xml:space="preserve">Chemikalien: </w:t>
      </w:r>
      <w:r>
        <w:rPr>
          <w:rFonts w:asciiTheme="majorHAnsi" w:hAnsiTheme="majorHAnsi"/>
          <w:sz w:val="22"/>
          <w:szCs w:val="22"/>
        </w:rPr>
        <w:tab/>
        <w:t xml:space="preserve">            </w:t>
      </w:r>
      <w:r>
        <w:rPr>
          <w:rFonts w:asciiTheme="majorHAnsi" w:hAnsiTheme="majorHAnsi" w:cs="Verdana"/>
          <w:sz w:val="22"/>
          <w:szCs w:val="22"/>
        </w:rPr>
        <w:t>Kochsalz, Eiswürfel</w:t>
      </w:r>
    </w:p>
    <w:p w:rsidR="00897979" w:rsidRDefault="00897979" w:rsidP="00897979">
      <w:pPr>
        <w:tabs>
          <w:tab w:val="left" w:pos="1701"/>
          <w:tab w:val="left" w:pos="1985"/>
        </w:tabs>
        <w:ind w:left="1980" w:hanging="1980"/>
        <w:rPr>
          <w:color w:val="auto"/>
        </w:rPr>
      </w:pPr>
      <w:r w:rsidRPr="002202E9">
        <w:rPr>
          <w:color w:val="auto"/>
        </w:rPr>
        <w:t>Durchführung:</w:t>
      </w:r>
      <w:r>
        <w:rPr>
          <w:color w:val="auto"/>
        </w:rPr>
        <w:t xml:space="preserve"> </w:t>
      </w:r>
      <w:r>
        <w:rPr>
          <w:color w:val="auto"/>
        </w:rPr>
        <w:tab/>
      </w:r>
      <w:r>
        <w:rPr>
          <w:color w:val="auto"/>
        </w:rPr>
        <w:tab/>
        <w:t xml:space="preserve">In ein kleines Becherglas werden zwei Eiswürfel gegeben. Darauf wird ein Bindfaden gelegt. Nun wird Salz hinzugegeben und kurz gewartet. </w:t>
      </w:r>
    </w:p>
    <w:p w:rsidR="00897979" w:rsidRPr="00183F22" w:rsidRDefault="00897979" w:rsidP="00897979">
      <w:pPr>
        <w:tabs>
          <w:tab w:val="left" w:pos="1701"/>
          <w:tab w:val="left" w:pos="1985"/>
        </w:tabs>
        <w:ind w:left="1980" w:hanging="1980"/>
        <w:rPr>
          <w:color w:val="auto"/>
        </w:rPr>
      </w:pPr>
      <w:r w:rsidRPr="002202E9">
        <w:rPr>
          <w:color w:val="auto"/>
        </w:rPr>
        <w:t>Beobachtung</w:t>
      </w:r>
      <w:r>
        <w:rPr>
          <w:color w:val="auto"/>
        </w:rPr>
        <w:t xml:space="preserve">: </w:t>
      </w:r>
      <w:r>
        <w:rPr>
          <w:color w:val="auto"/>
        </w:rPr>
        <w:tab/>
      </w:r>
      <w:r>
        <w:rPr>
          <w:color w:val="auto"/>
        </w:rPr>
        <w:tab/>
        <w:t>Ein Eiswürfel lässt sich mit dem Bindfaden hochheben. Bei großzügiger Verwendung des Salzes und kleineren Eiswürfeln ist sogar ein Anheben des gesamten Becherglases möglich.</w:t>
      </w:r>
    </w:p>
    <w:p w:rsidR="00897979" w:rsidRPr="00027FF6" w:rsidRDefault="00897979" w:rsidP="00897979">
      <w:pPr>
        <w:tabs>
          <w:tab w:val="left" w:pos="1701"/>
          <w:tab w:val="left" w:pos="1985"/>
        </w:tabs>
        <w:ind w:left="1979" w:hanging="1979"/>
        <w:rPr>
          <w:color w:val="auto"/>
        </w:rPr>
      </w:pPr>
      <w:r w:rsidRPr="00027FF6">
        <w:rPr>
          <w:color w:val="auto"/>
        </w:rPr>
        <w:t xml:space="preserve">Deutung: </w:t>
      </w:r>
      <w:r w:rsidRPr="00027FF6">
        <w:rPr>
          <w:color w:val="auto"/>
        </w:rPr>
        <w:tab/>
      </w:r>
      <w:r w:rsidRPr="00027FF6">
        <w:rPr>
          <w:color w:val="auto"/>
        </w:rPr>
        <w:tab/>
      </w:r>
      <w:r>
        <w:rPr>
          <w:color w:val="auto"/>
        </w:rPr>
        <w:t>Das Kochsalz bringt das Eis zum Tauen auf Grund der Gefrierpunktserniedrigung durch das Kochsalz. Über dem Bindfaden gefriert das Eis aber wieder, weswegen man den Eiswürfel/das Becherglas schließlich anheben kann</w:t>
      </w:r>
    </w:p>
    <w:p w:rsidR="00897979" w:rsidRDefault="00897979" w:rsidP="00897979">
      <w:pPr>
        <w:tabs>
          <w:tab w:val="left" w:pos="1701"/>
          <w:tab w:val="left" w:pos="1985"/>
        </w:tabs>
        <w:ind w:left="1979" w:hanging="1979"/>
        <w:rPr>
          <w:color w:val="auto"/>
        </w:rPr>
      </w:pPr>
      <w:r w:rsidRPr="00027FF6">
        <w:rPr>
          <w:color w:val="auto"/>
        </w:rPr>
        <w:t xml:space="preserve">Entsorgung: </w:t>
      </w:r>
      <w:r w:rsidRPr="00027FF6">
        <w:rPr>
          <w:color w:val="auto"/>
        </w:rPr>
        <w:tab/>
      </w:r>
      <w:r w:rsidRPr="00027FF6">
        <w:rPr>
          <w:color w:val="auto"/>
        </w:rPr>
        <w:tab/>
        <w:t>D</w:t>
      </w:r>
      <w:r>
        <w:rPr>
          <w:color w:val="auto"/>
        </w:rPr>
        <w:t>ie Eis-Salz-Mischung kann in den Abguss</w:t>
      </w:r>
      <w:r w:rsidRPr="00027FF6">
        <w:rPr>
          <w:color w:val="auto"/>
        </w:rPr>
        <w:t xml:space="preserve"> gegeben werden.</w:t>
      </w:r>
    </w:p>
    <w:p w:rsidR="00897979" w:rsidRDefault="00897979" w:rsidP="00897979">
      <w:pPr>
        <w:pStyle w:val="Default"/>
        <w:spacing w:after="200" w:line="360" w:lineRule="auto"/>
        <w:ind w:left="1979" w:hanging="1979"/>
        <w:jc w:val="both"/>
        <w:rPr>
          <w:rFonts w:asciiTheme="majorHAnsi" w:hAnsiTheme="majorHAnsi" w:cs="Verdana"/>
          <w:bCs/>
          <w:sz w:val="22"/>
          <w:szCs w:val="22"/>
        </w:rPr>
      </w:pPr>
      <w:r>
        <w:rPr>
          <w:rFonts w:asciiTheme="majorHAnsi" w:hAnsiTheme="majorHAnsi"/>
          <w:sz w:val="22"/>
          <w:szCs w:val="22"/>
        </w:rPr>
        <w:t xml:space="preserve">Literatur: </w:t>
      </w:r>
      <w:r w:rsidRPr="00A95B38">
        <w:rPr>
          <w:rFonts w:asciiTheme="majorHAnsi" w:hAnsiTheme="majorHAnsi" w:cs="Verdana"/>
          <w:sz w:val="22"/>
          <w:szCs w:val="22"/>
        </w:rPr>
        <w:t xml:space="preserve"> </w:t>
      </w:r>
      <w:r>
        <w:rPr>
          <w:rFonts w:asciiTheme="majorHAnsi" w:hAnsiTheme="majorHAnsi" w:cs="Verdana"/>
          <w:sz w:val="22"/>
          <w:szCs w:val="22"/>
        </w:rPr>
        <w:tab/>
        <w:t xml:space="preserve">Hecker, J., </w:t>
      </w:r>
      <w:r>
        <w:rPr>
          <w:rFonts w:asciiTheme="majorHAnsi" w:hAnsiTheme="majorHAnsi" w:cs="Verdana"/>
          <w:bCs/>
          <w:sz w:val="22"/>
          <w:szCs w:val="22"/>
        </w:rPr>
        <w:t>Der Kinder Brockhaus Experimente: Den Naturwissenschaften auf der Spur, 2</w:t>
      </w:r>
      <w:r w:rsidRPr="00A95B38">
        <w:rPr>
          <w:rFonts w:asciiTheme="majorHAnsi" w:hAnsiTheme="majorHAnsi" w:cs="Verdana"/>
          <w:bCs/>
          <w:sz w:val="22"/>
          <w:szCs w:val="22"/>
        </w:rPr>
        <w:t xml:space="preserve">. Auflage, </w:t>
      </w:r>
      <w:r>
        <w:rPr>
          <w:rFonts w:asciiTheme="majorHAnsi" w:hAnsiTheme="majorHAnsi" w:cs="Verdana"/>
          <w:bCs/>
          <w:sz w:val="22"/>
          <w:szCs w:val="22"/>
        </w:rPr>
        <w:t>2010</w:t>
      </w:r>
      <w:r w:rsidRPr="00A95B38">
        <w:rPr>
          <w:rFonts w:asciiTheme="majorHAnsi" w:hAnsiTheme="majorHAnsi" w:cs="Verdana"/>
          <w:bCs/>
          <w:sz w:val="22"/>
          <w:szCs w:val="22"/>
        </w:rPr>
        <w:t>,</w:t>
      </w:r>
      <w:r>
        <w:rPr>
          <w:rFonts w:asciiTheme="majorHAnsi" w:hAnsiTheme="majorHAnsi" w:cs="Verdana"/>
          <w:bCs/>
          <w:sz w:val="22"/>
          <w:szCs w:val="22"/>
        </w:rPr>
        <w:t xml:space="preserve"> S.14 f.</w:t>
      </w:r>
    </w:p>
    <w:p w:rsidR="00897979" w:rsidRPr="00027FF6" w:rsidRDefault="006D09BD" w:rsidP="00897979">
      <w:pPr>
        <w:tabs>
          <w:tab w:val="left" w:pos="1701"/>
          <w:tab w:val="left" w:pos="1985"/>
        </w:tabs>
        <w:rPr>
          <w:color w:val="auto"/>
        </w:rPr>
      </w:pPr>
      <w:r>
        <w:rPr>
          <w:color w:val="auto"/>
        </w:rPr>
      </w:r>
      <w:r>
        <w:rPr>
          <w:color w:val="auto"/>
        </w:rPr>
        <w:pict>
          <v:shape id="_x0000_s1026" type="#_x0000_t202" style="width:462.45pt;height:156.4pt;mso-position-horizontal-relative:char;mso-position-vertical-relative:line;mso-width-relative:margin;mso-height-relative:margin" fillcolor="white [3201]" strokecolor="#c0504d [3205]" strokeweight="1pt">
            <v:stroke dashstyle="dash"/>
            <v:shadow color="#868686"/>
            <v:textbox style="mso-next-textbox:#_x0000_s1026">
              <w:txbxContent>
                <w:p w:rsidR="00897979" w:rsidRPr="0054507A" w:rsidRDefault="00897979" w:rsidP="00897979">
                  <w:pPr>
                    <w:tabs>
                      <w:tab w:val="left" w:pos="1701"/>
                      <w:tab w:val="left" w:pos="1985"/>
                    </w:tabs>
                    <w:rPr>
                      <w:b/>
                      <w:color w:val="auto"/>
                    </w:rPr>
                  </w:pPr>
                  <w:r>
                    <w:rPr>
                      <w:color w:val="auto"/>
                    </w:rPr>
                    <w:t xml:space="preserve">Anhand dieses Versuches können die </w:t>
                  </w:r>
                  <w:proofErr w:type="spellStart"/>
                  <w:r>
                    <w:rPr>
                      <w:color w:val="auto"/>
                    </w:rPr>
                    <w:t>SuS</w:t>
                  </w:r>
                  <w:proofErr w:type="spellEnd"/>
                  <w:r>
                    <w:rPr>
                      <w:color w:val="auto"/>
                    </w:rPr>
                    <w:t xml:space="preserve"> gut die andere Seite der Gefrierpunktserniedrigung sehen: Das Eis wird zwar durch Zugabe von Kochsalz insgesamt kälter, jedoch schmilzt es auch früher. Anschließend kann auch eine Diskussion der Umweltgefahr, die durch den Einsatz von Kochsalz hervorgerufen wird, thematisiert werden. Neben der Anwendung als Auftausalz kann auch die Verwendung von Kochsalz als Konservierungsmittel demonstriert werden zum Beispiel beim Verderb von Käse. Weitere Anwendungsbereiche zum Beispiel als isotonische Lösung in der Medizin oder in der chemischen Industrie bei der Chloralkalielektrolyse können  ebenfalls thematisiert werden.</w:t>
                  </w:r>
                </w:p>
              </w:txbxContent>
            </v:textbox>
            <w10:wrap type="none"/>
            <w10:anchorlock/>
          </v:shape>
        </w:pict>
      </w:r>
    </w:p>
    <w:p w:rsidR="004465A0" w:rsidRDefault="004465A0"/>
    <w:sectPr w:rsidR="004465A0" w:rsidSect="004465A0">
      <w:headerReference w:type="default" r:id="rId1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8B6" w:rsidRDefault="007E08B6" w:rsidP="00E07EF3">
      <w:pPr>
        <w:spacing w:after="0" w:line="240" w:lineRule="auto"/>
      </w:pPr>
      <w:r>
        <w:separator/>
      </w:r>
    </w:p>
  </w:endnote>
  <w:endnote w:type="continuationSeparator" w:id="0">
    <w:p w:rsidR="007E08B6" w:rsidRDefault="007E08B6" w:rsidP="00E07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8B6" w:rsidRDefault="007E08B6" w:rsidP="00E07EF3">
      <w:pPr>
        <w:spacing w:after="0" w:line="240" w:lineRule="auto"/>
      </w:pPr>
      <w:r>
        <w:separator/>
      </w:r>
    </w:p>
  </w:footnote>
  <w:footnote w:type="continuationSeparator" w:id="0">
    <w:p w:rsidR="007E08B6" w:rsidRDefault="007E08B6" w:rsidP="00E07E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E07EF3" w:rsidRDefault="00E07EF3" w:rsidP="00E07EF3">
        <w:pPr>
          <w:pStyle w:val="Kopfzeile"/>
          <w:tabs>
            <w:tab w:val="left" w:pos="0"/>
            <w:tab w:val="left" w:pos="284"/>
          </w:tabs>
          <w:jc w:val="right"/>
          <w:rPr>
            <w:rFonts w:asciiTheme="majorHAnsi" w:hAnsiTheme="majorHAnsi"/>
            <w:sz w:val="20"/>
            <w:szCs w:val="20"/>
          </w:rPr>
        </w:pPr>
        <w:fldSimple w:instr=" STYLEREF  &quot;Überschrift 1&quot;  \* MERGEFORMAT ">
          <w:r w:rsidRPr="00E07EF3">
            <w:rPr>
              <w:b/>
              <w:bCs/>
              <w:noProof/>
            </w:rPr>
            <w:t>V 6 – Die Eisangel</w:t>
          </w:r>
        </w:fldSimple>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 xml:space="preserve"> </w:t>
        </w:r>
        <w:r>
          <w:rPr>
            <w:rFonts w:asciiTheme="majorHAnsi" w:hAnsiTheme="majorHAnsi"/>
            <w:sz w:val="20"/>
            <w:szCs w:val="20"/>
          </w:rPr>
          <w:fldChar w:fldCharType="begin"/>
        </w:r>
        <w:r>
          <w:rPr>
            <w:rFonts w:asciiTheme="majorHAnsi" w:hAnsiTheme="majorHAnsi"/>
            <w:sz w:val="20"/>
            <w:szCs w:val="20"/>
          </w:rPr>
          <w:instrText xml:space="preserve"> PAGE   \* MERGEFORMAT </w:instrText>
        </w:r>
        <w:r>
          <w:rPr>
            <w:rFonts w:asciiTheme="majorHAnsi" w:hAnsiTheme="majorHAnsi"/>
            <w:sz w:val="20"/>
            <w:szCs w:val="20"/>
          </w:rPr>
          <w:fldChar w:fldCharType="separate"/>
        </w:r>
        <w:r>
          <w:rPr>
            <w:rFonts w:asciiTheme="majorHAnsi" w:hAnsiTheme="majorHAnsi"/>
            <w:noProof/>
            <w:sz w:val="20"/>
            <w:szCs w:val="20"/>
          </w:rPr>
          <w:t>1</w:t>
        </w:r>
        <w:r>
          <w:rPr>
            <w:rFonts w:asciiTheme="majorHAnsi" w:hAnsiTheme="majorHAnsi"/>
            <w:sz w:val="20"/>
            <w:szCs w:val="20"/>
          </w:rPr>
          <w:fldChar w:fldCharType="end"/>
        </w:r>
      </w:p>
    </w:sdtContent>
  </w:sdt>
  <w:p w:rsidR="00E07EF3" w:rsidRDefault="00E07EF3" w:rsidP="00E07EF3">
    <w:pPr>
      <w:pStyle w:val="Kopfzeile"/>
      <w:rPr>
        <w:rFonts w:asciiTheme="majorHAnsi" w:hAnsiTheme="majorHAnsi"/>
        <w:sz w:val="20"/>
        <w:szCs w:val="20"/>
      </w:rPr>
    </w:pPr>
    <w:r>
      <w:pict>
        <v:shapetype id="_x0000_t32" coordsize="21600,21600" o:spt="32" o:oned="t" path="m,l21600,21600e" filled="f">
          <v:path arrowok="t" fillok="f" o:connecttype="none"/>
          <o:lock v:ext="edit" shapetype="t"/>
        </v:shapetype>
        <v:shape id="_x0000_s3073" type="#_x0000_t32" style="position:absolute;left:0;text-align:left;margin-left:-3.35pt;margin-top:3.05pt;width:462pt;height:.05pt;flip:x;z-index:251660288" o:connectortype="straight"/>
      </w:pict>
    </w:r>
  </w:p>
  <w:p w:rsidR="00E07EF3" w:rsidRDefault="00E07EF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rsids>
    <w:rsidRoot w:val="00897979"/>
    <w:rsid w:val="0024532E"/>
    <w:rsid w:val="00293ED5"/>
    <w:rsid w:val="004465A0"/>
    <w:rsid w:val="006D09BD"/>
    <w:rsid w:val="007E08B6"/>
    <w:rsid w:val="00897979"/>
    <w:rsid w:val="00E07EF3"/>
    <w:rsid w:val="00E60FD7"/>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797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9797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9797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9797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9797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9797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9797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9797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9797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9797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797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9797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9797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9797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9797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9797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9797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9797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97979"/>
    <w:rPr>
      <w:rFonts w:asciiTheme="majorHAnsi" w:eastAsiaTheme="majorEastAsia" w:hAnsiTheme="majorHAnsi" w:cstheme="majorBidi"/>
      <w:i/>
      <w:iCs/>
      <w:color w:val="404040" w:themeColor="text1" w:themeTint="BF"/>
      <w:sz w:val="20"/>
      <w:szCs w:val="20"/>
    </w:rPr>
  </w:style>
  <w:style w:type="paragraph" w:customStyle="1" w:styleId="Default">
    <w:name w:val="Default"/>
    <w:rsid w:val="00897979"/>
    <w:pPr>
      <w:autoSpaceDE w:val="0"/>
      <w:autoSpaceDN w:val="0"/>
      <w:adjustRightInd w:val="0"/>
      <w:spacing w:after="0" w:line="240" w:lineRule="auto"/>
    </w:pPr>
    <w:rPr>
      <w:rFonts w:ascii="Symbol" w:hAnsi="Symbol" w:cs="Symbol"/>
      <w:color w:val="000000"/>
      <w:sz w:val="24"/>
      <w:szCs w:val="24"/>
    </w:rPr>
  </w:style>
  <w:style w:type="paragraph" w:styleId="Sprechblasentext">
    <w:name w:val="Balloon Text"/>
    <w:basedOn w:val="Standard"/>
    <w:link w:val="SprechblasentextZchn"/>
    <w:uiPriority w:val="99"/>
    <w:semiHidden/>
    <w:unhideWhenUsed/>
    <w:rsid w:val="008979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7979"/>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E07E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07EF3"/>
    <w:rPr>
      <w:rFonts w:ascii="Cambria" w:hAnsi="Cambria"/>
      <w:color w:val="1D1B11" w:themeColor="background2" w:themeShade="1A"/>
    </w:rPr>
  </w:style>
  <w:style w:type="paragraph" w:styleId="Fuzeile">
    <w:name w:val="footer"/>
    <w:basedOn w:val="Standard"/>
    <w:link w:val="FuzeileZchn"/>
    <w:uiPriority w:val="99"/>
    <w:semiHidden/>
    <w:unhideWhenUsed/>
    <w:rsid w:val="00E07EF3"/>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07EF3"/>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divs>
    <w:div w:id="3712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2B7B4-A8CC-4EAE-B8BC-90A654BE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852</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2</cp:revision>
  <dcterms:created xsi:type="dcterms:W3CDTF">2013-08-13T16:57:00Z</dcterms:created>
  <dcterms:modified xsi:type="dcterms:W3CDTF">2013-08-14T18:02:00Z</dcterms:modified>
</cp:coreProperties>
</file>