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8F" w:rsidRPr="00D9728F" w:rsidRDefault="00D9728F" w:rsidP="00EC7C2F">
      <w:pPr>
        <w:pStyle w:val="berschrift1"/>
        <w:numPr>
          <w:ilvl w:val="0"/>
          <w:numId w:val="0"/>
        </w:numPr>
        <w:ind w:left="432" w:hanging="432"/>
        <w:jc w:val="center"/>
        <w:rPr>
          <w:sz w:val="40"/>
          <w:szCs w:val="40"/>
          <w:u w:val="single"/>
        </w:rPr>
      </w:pPr>
      <w:bookmarkStart w:id="0" w:name="_Toc362846718"/>
      <w:r w:rsidRPr="00D9728F">
        <w:rPr>
          <w:sz w:val="40"/>
          <w:szCs w:val="40"/>
          <w:u w:val="single"/>
        </w:rPr>
        <w:t xml:space="preserve">V </w:t>
      </w:r>
      <w:r>
        <w:rPr>
          <w:sz w:val="40"/>
          <w:szCs w:val="40"/>
          <w:u w:val="single"/>
        </w:rPr>
        <w:t>7</w:t>
      </w:r>
      <w:r w:rsidRPr="00D9728F">
        <w:rPr>
          <w:sz w:val="40"/>
          <w:szCs w:val="40"/>
          <w:u w:val="single"/>
        </w:rPr>
        <w:t xml:space="preserve"> – Korrosion durch Kochsalz</w:t>
      </w:r>
      <w:bookmarkEnd w:id="0"/>
    </w:p>
    <w:p w:rsidR="00D9728F" w:rsidRDefault="00D25B0A" w:rsidP="00D9728F">
      <w:pPr>
        <w:spacing w:after="0"/>
      </w:pPr>
      <w:r w:rsidRPr="00D25B0A">
        <w:rPr>
          <w:color w:val="auto"/>
        </w:rPr>
      </w:r>
      <w:r w:rsidRPr="00D25B0A">
        <w:rPr>
          <w:color w:val="auto"/>
        </w:rPr>
        <w:pict>
          <v:shapetype id="_x0000_t202" coordsize="21600,21600" o:spt="202" path="m,l,21600r21600,l21600,xe">
            <v:stroke joinstyle="miter"/>
            <v:path gradientshapeok="t" o:connecttype="rect"/>
          </v:shapetype>
          <v:shape id="_x0000_s1027" type="#_x0000_t202" style="width:462.45pt;height:59.7pt;mso-position-horizontal-relative:char;mso-position-vertical-relative:line;mso-width-relative:margin;mso-height-relative:margin" fillcolor="white [3201]" strokecolor="#4f81bd [3204]" strokeweight="1pt">
            <v:stroke dashstyle="dash"/>
            <v:shadow color="#868686"/>
            <v:textbox style="mso-next-textbox:#_x0000_s1027">
              <w:txbxContent>
                <w:p w:rsidR="00D9728F" w:rsidRPr="006F04C5" w:rsidRDefault="00D9728F" w:rsidP="00D9728F">
                  <w:r>
                    <w:t xml:space="preserve">In diesem Versuch soll es um die Korrosion mit und ohne Kochsalz gehen. Die </w:t>
                  </w:r>
                  <w:proofErr w:type="spellStart"/>
                  <w:r>
                    <w:t>SuS</w:t>
                  </w:r>
                  <w:proofErr w:type="spellEnd"/>
                  <w:r>
                    <w:t xml:space="preserve"> brauchen dazu Vorwissen über das Rosten von Eisen, welches ihnen jedoch aus dem Alltag geläufig sein könnte.</w:t>
                  </w:r>
                </w:p>
              </w:txbxContent>
            </v:textbox>
            <w10:wrap type="none"/>
            <w10:anchorlock/>
          </v:shape>
        </w:pict>
      </w:r>
    </w:p>
    <w:p w:rsidR="00D9728F" w:rsidRPr="00D91203" w:rsidRDefault="00D9728F" w:rsidP="00D9728F"/>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9728F" w:rsidRPr="009C5E28" w:rsidTr="00116CCC">
        <w:tc>
          <w:tcPr>
            <w:tcW w:w="9322" w:type="dxa"/>
            <w:gridSpan w:val="9"/>
            <w:shd w:val="clear" w:color="auto" w:fill="4F81BD"/>
            <w:vAlign w:val="center"/>
          </w:tcPr>
          <w:p w:rsidR="00D9728F" w:rsidRPr="009C5E28" w:rsidRDefault="00D9728F" w:rsidP="00116CCC">
            <w:pPr>
              <w:spacing w:after="0"/>
              <w:rPr>
                <w:b/>
                <w:bCs/>
              </w:rPr>
            </w:pPr>
            <w:r w:rsidRPr="009C5E28">
              <w:rPr>
                <w:b/>
                <w:bCs/>
              </w:rPr>
              <w:t>Gefahrenstoffe</w:t>
            </w:r>
          </w:p>
        </w:tc>
      </w:tr>
      <w:tr w:rsidR="00D9728F" w:rsidRPr="009C5E28" w:rsidTr="00116CC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9728F" w:rsidRPr="009C5E28" w:rsidRDefault="00D9728F" w:rsidP="00116CCC">
            <w:pPr>
              <w:spacing w:after="0"/>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D9728F" w:rsidRPr="009C5E28" w:rsidRDefault="00D9728F" w:rsidP="00116CCC">
            <w:pPr>
              <w:spacing w:after="0"/>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9728F" w:rsidRPr="00655494" w:rsidRDefault="00D9728F" w:rsidP="00116CCC">
            <w:pPr>
              <w:spacing w:after="0"/>
              <w:rPr>
                <w:rFonts w:asciiTheme="majorHAnsi" w:hAnsiTheme="majorHAnsi"/>
              </w:rPr>
            </w:pPr>
            <w:r>
              <w:t>/</w:t>
            </w:r>
          </w:p>
        </w:tc>
      </w:tr>
      <w:tr w:rsidR="00D9728F" w:rsidRPr="009C5E28" w:rsidTr="00116CCC">
        <w:tc>
          <w:tcPr>
            <w:tcW w:w="1009" w:type="dxa"/>
            <w:tcBorders>
              <w:top w:val="single" w:sz="8" w:space="0" w:color="4F81BD"/>
              <w:left w:val="single" w:sz="8" w:space="0" w:color="4F81BD"/>
              <w:bottom w:val="single" w:sz="8" w:space="0" w:color="4F81BD"/>
            </w:tcBorders>
            <w:shd w:val="clear" w:color="auto" w:fill="auto"/>
            <w:vAlign w:val="center"/>
          </w:tcPr>
          <w:p w:rsidR="00D9728F" w:rsidRPr="009C5E28" w:rsidRDefault="00D9728F" w:rsidP="00116CCC">
            <w:pPr>
              <w:spacing w:after="0"/>
              <w:rPr>
                <w:b/>
                <w:bCs/>
              </w:rPr>
            </w:pPr>
            <w:r>
              <w:rPr>
                <w:b/>
                <w:noProof/>
                <w:lang w:eastAsia="de-DE"/>
              </w:rPr>
              <w:drawing>
                <wp:inline distT="0" distB="0" distL="0" distR="0">
                  <wp:extent cx="504190" cy="504190"/>
                  <wp:effectExtent l="19050" t="0" r="0" b="0"/>
                  <wp:docPr id="7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19050" t="0" r="0" b="0"/>
                  <wp:docPr id="7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19050" t="0" r="0" b="0"/>
                  <wp:docPr id="7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0" t="0" r="0" b="0"/>
                  <wp:docPr id="7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0" t="0" r="0" b="0"/>
                  <wp:docPr id="7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0" t="0" r="0" b="0"/>
                  <wp:docPr id="7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0" t="0" r="0" b="0"/>
                  <wp:docPr id="7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11175" cy="511175"/>
                  <wp:effectExtent l="19050" t="0" r="3175" b="0"/>
                  <wp:docPr id="8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9728F" w:rsidRPr="009C5E28" w:rsidRDefault="00D9728F" w:rsidP="00116CCC">
            <w:pPr>
              <w:spacing w:after="0"/>
            </w:pPr>
            <w:r>
              <w:rPr>
                <w:noProof/>
                <w:lang w:eastAsia="de-DE"/>
              </w:rPr>
              <w:drawing>
                <wp:inline distT="0" distB="0" distL="0" distR="0">
                  <wp:extent cx="504190" cy="504190"/>
                  <wp:effectExtent l="19050" t="0" r="0" b="0"/>
                  <wp:docPr id="8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D9728F" w:rsidRDefault="00D9728F" w:rsidP="00D9728F">
      <w:pPr>
        <w:tabs>
          <w:tab w:val="left" w:pos="1701"/>
          <w:tab w:val="left" w:pos="1985"/>
        </w:tabs>
        <w:ind w:left="1980" w:hanging="1980"/>
      </w:pPr>
    </w:p>
    <w:p w:rsidR="00D9728F" w:rsidRPr="00A768C6" w:rsidRDefault="00D9728F" w:rsidP="00D9728F">
      <w:pPr>
        <w:pStyle w:val="Default"/>
        <w:spacing w:after="200" w:line="360" w:lineRule="auto"/>
        <w:ind w:left="1979" w:hanging="1979"/>
        <w:jc w:val="both"/>
        <w:rPr>
          <w:rFonts w:asciiTheme="majorHAnsi" w:hAnsiTheme="majorHAnsi" w:cs="Verdana"/>
          <w:sz w:val="22"/>
          <w:szCs w:val="22"/>
        </w:rPr>
      </w:pPr>
      <w:r>
        <w:rPr>
          <w:rFonts w:asciiTheme="majorHAnsi" w:hAnsiTheme="majorHAnsi"/>
          <w:sz w:val="22"/>
          <w:szCs w:val="22"/>
        </w:rPr>
        <w:t>Materialien:</w:t>
      </w:r>
      <w:r>
        <w:rPr>
          <w:rFonts w:asciiTheme="majorHAnsi" w:hAnsiTheme="majorHAnsi"/>
          <w:sz w:val="22"/>
          <w:szCs w:val="22"/>
        </w:rPr>
        <w:tab/>
        <w:t>Zwei Bechergläser (100 mL)</w:t>
      </w:r>
    </w:p>
    <w:p w:rsidR="00D9728F" w:rsidRPr="00A768C6" w:rsidRDefault="00D9728F" w:rsidP="00D9728F">
      <w:pPr>
        <w:pStyle w:val="Default"/>
        <w:spacing w:after="200" w:line="360" w:lineRule="auto"/>
        <w:jc w:val="both"/>
        <w:rPr>
          <w:rFonts w:asciiTheme="majorHAnsi" w:hAnsiTheme="majorHAnsi"/>
        </w:rPr>
      </w:pPr>
      <w:r>
        <w:rPr>
          <w:rFonts w:asciiTheme="majorHAnsi" w:hAnsiTheme="majorHAnsi"/>
          <w:sz w:val="22"/>
          <w:szCs w:val="22"/>
        </w:rPr>
        <w:t xml:space="preserve">Chemikalien: </w:t>
      </w:r>
      <w:r>
        <w:rPr>
          <w:rFonts w:asciiTheme="majorHAnsi" w:hAnsiTheme="majorHAnsi"/>
          <w:sz w:val="22"/>
          <w:szCs w:val="22"/>
        </w:rPr>
        <w:tab/>
        <w:t xml:space="preserve">            </w:t>
      </w:r>
      <w:r>
        <w:rPr>
          <w:rFonts w:asciiTheme="majorHAnsi" w:hAnsiTheme="majorHAnsi" w:cs="Verdana"/>
          <w:sz w:val="22"/>
          <w:szCs w:val="22"/>
        </w:rPr>
        <w:t>Kochsalz, demineralisiertes Wasser, Eisennagel</w:t>
      </w:r>
    </w:p>
    <w:p w:rsidR="00D9728F" w:rsidRDefault="00D9728F" w:rsidP="00D9728F">
      <w:pPr>
        <w:tabs>
          <w:tab w:val="left" w:pos="1701"/>
          <w:tab w:val="left" w:pos="1985"/>
        </w:tabs>
        <w:ind w:left="1980" w:hanging="1980"/>
        <w:rPr>
          <w:color w:val="auto"/>
        </w:rPr>
      </w:pPr>
      <w:r w:rsidRPr="002202E9">
        <w:rPr>
          <w:color w:val="auto"/>
        </w:rPr>
        <w:t>Durchführung:</w:t>
      </w:r>
      <w:r>
        <w:rPr>
          <w:color w:val="auto"/>
        </w:rPr>
        <w:t xml:space="preserve"> </w:t>
      </w:r>
      <w:r>
        <w:rPr>
          <w:color w:val="auto"/>
        </w:rPr>
        <w:tab/>
      </w:r>
      <w:r>
        <w:rPr>
          <w:color w:val="auto"/>
        </w:rPr>
        <w:tab/>
        <w:t>In einem Becherglas wird eine Kochsalzlösung durch Zugabe von einigen Spateln Kochsalz zu 80 mL Wasser hergestellt. In ein zweites Becherglas werden 80 mL demineralisiertes Wasser gefüllt. In beide kommt eine Eisennagel, der vorher blank geschmirgelt wird. Nun wird einige Stunden gewartet</w:t>
      </w:r>
    </w:p>
    <w:p w:rsidR="00D9728F" w:rsidRDefault="00D9728F" w:rsidP="00D9728F">
      <w:pPr>
        <w:tabs>
          <w:tab w:val="left" w:pos="1701"/>
          <w:tab w:val="left" w:pos="1985"/>
        </w:tabs>
        <w:ind w:left="1980" w:hanging="1980"/>
        <w:rPr>
          <w:color w:val="auto"/>
        </w:rPr>
      </w:pPr>
      <w:r w:rsidRPr="002202E9">
        <w:rPr>
          <w:color w:val="auto"/>
        </w:rPr>
        <w:t>Beobachtung</w:t>
      </w:r>
      <w:r>
        <w:rPr>
          <w:color w:val="auto"/>
        </w:rPr>
        <w:t xml:space="preserve">: </w:t>
      </w:r>
      <w:r>
        <w:rPr>
          <w:color w:val="auto"/>
        </w:rPr>
        <w:tab/>
      </w:r>
      <w:r>
        <w:rPr>
          <w:color w:val="auto"/>
        </w:rPr>
        <w:tab/>
        <w:t>Der Eisennagel in der Kochsalzlösung rostet wesentlich schneller als der im Wasser.</w:t>
      </w:r>
    </w:p>
    <w:p w:rsidR="00D9728F" w:rsidRDefault="00D9728F" w:rsidP="00D9728F">
      <w:pPr>
        <w:tabs>
          <w:tab w:val="left" w:pos="1701"/>
          <w:tab w:val="left" w:pos="1985"/>
        </w:tabs>
        <w:ind w:left="1980" w:hanging="1980"/>
        <w:jc w:val="center"/>
        <w:rPr>
          <w:color w:val="auto"/>
        </w:rPr>
      </w:pPr>
      <w:r>
        <w:rPr>
          <w:noProof/>
          <w:color w:val="auto"/>
          <w:lang w:eastAsia="de-DE"/>
        </w:rPr>
        <w:drawing>
          <wp:inline distT="0" distB="0" distL="0" distR="0">
            <wp:extent cx="3076575" cy="2307431"/>
            <wp:effectExtent l="19050" t="0" r="0" b="0"/>
            <wp:docPr id="83" name="Grafik 82" descr="DSC0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91.JPG"/>
                    <pic:cNvPicPr/>
                  </pic:nvPicPr>
                  <pic:blipFill>
                    <a:blip r:embed="rId17" cstate="print"/>
                    <a:stretch>
                      <a:fillRect/>
                    </a:stretch>
                  </pic:blipFill>
                  <pic:spPr>
                    <a:xfrm>
                      <a:off x="0" y="0"/>
                      <a:ext cx="3079969" cy="2309977"/>
                    </a:xfrm>
                    <a:prstGeom prst="rect">
                      <a:avLst/>
                    </a:prstGeom>
                  </pic:spPr>
                </pic:pic>
              </a:graphicData>
            </a:graphic>
          </wp:inline>
        </w:drawing>
      </w:r>
    </w:p>
    <w:p w:rsidR="00D9728F" w:rsidRPr="00F37A86" w:rsidRDefault="00D9728F" w:rsidP="00D9728F">
      <w:pPr>
        <w:tabs>
          <w:tab w:val="left" w:pos="1701"/>
          <w:tab w:val="left" w:pos="1985"/>
        </w:tabs>
        <w:ind w:left="1980" w:hanging="1980"/>
        <w:rPr>
          <w:color w:val="auto"/>
          <w:sz w:val="18"/>
          <w:szCs w:val="18"/>
        </w:rPr>
      </w:pPr>
      <w:r>
        <w:rPr>
          <w:color w:val="auto"/>
          <w:sz w:val="18"/>
          <w:szCs w:val="18"/>
        </w:rPr>
        <w:tab/>
        <w:t>Abb. 9 - Die Eisennägel nach einigen Stunden</w:t>
      </w:r>
    </w:p>
    <w:p w:rsidR="00D9728F" w:rsidRPr="00027FF6" w:rsidRDefault="00D9728F" w:rsidP="00D9728F">
      <w:pPr>
        <w:tabs>
          <w:tab w:val="left" w:pos="1701"/>
          <w:tab w:val="left" w:pos="1985"/>
        </w:tabs>
        <w:ind w:left="1979" w:hanging="1979"/>
        <w:rPr>
          <w:color w:val="auto"/>
        </w:rPr>
      </w:pPr>
      <w:r w:rsidRPr="00027FF6">
        <w:rPr>
          <w:color w:val="auto"/>
        </w:rPr>
        <w:lastRenderedPageBreak/>
        <w:t xml:space="preserve">Deutung: </w:t>
      </w:r>
      <w:r w:rsidRPr="00027FF6">
        <w:rPr>
          <w:color w:val="auto"/>
        </w:rPr>
        <w:tab/>
      </w:r>
      <w:r w:rsidRPr="00027FF6">
        <w:rPr>
          <w:color w:val="auto"/>
        </w:rPr>
        <w:tab/>
      </w:r>
      <w:r>
        <w:rPr>
          <w:color w:val="auto"/>
        </w:rPr>
        <w:t>Das Kochsalz beschleunigt das Rosten des Eisens.</w:t>
      </w:r>
    </w:p>
    <w:p w:rsidR="00D9728F" w:rsidRDefault="00D9728F" w:rsidP="00D9728F">
      <w:pPr>
        <w:tabs>
          <w:tab w:val="left" w:pos="1701"/>
          <w:tab w:val="left" w:pos="1985"/>
        </w:tabs>
        <w:ind w:left="1979" w:hanging="1979"/>
        <w:rPr>
          <w:color w:val="auto"/>
        </w:rPr>
      </w:pPr>
      <w:r w:rsidRPr="00027FF6">
        <w:rPr>
          <w:color w:val="auto"/>
        </w:rPr>
        <w:t xml:space="preserve">Entsorgung: </w:t>
      </w:r>
      <w:r w:rsidRPr="00027FF6">
        <w:rPr>
          <w:color w:val="auto"/>
        </w:rPr>
        <w:tab/>
      </w:r>
      <w:r w:rsidRPr="00027FF6">
        <w:rPr>
          <w:color w:val="auto"/>
        </w:rPr>
        <w:tab/>
      </w:r>
      <w:r>
        <w:rPr>
          <w:color w:val="auto"/>
        </w:rPr>
        <w:t>Lösungen in den Abguss</w:t>
      </w:r>
      <w:r w:rsidRPr="00027FF6">
        <w:rPr>
          <w:color w:val="auto"/>
        </w:rPr>
        <w:t xml:space="preserve"> geben werden.</w:t>
      </w:r>
      <w:r>
        <w:rPr>
          <w:color w:val="auto"/>
        </w:rPr>
        <w:t xml:space="preserve"> Die Eisennägel können für spätere Versuche wieder verwendet werden.</w:t>
      </w:r>
    </w:p>
    <w:p w:rsidR="00D9728F" w:rsidRPr="002202E9" w:rsidRDefault="00D25B0A" w:rsidP="00D9728F">
      <w:pPr>
        <w:tabs>
          <w:tab w:val="left" w:pos="1701"/>
          <w:tab w:val="left" w:pos="1985"/>
        </w:tabs>
        <w:rPr>
          <w:b/>
          <w:color w:val="auto"/>
        </w:rPr>
      </w:pPr>
      <w:r w:rsidRPr="00D25B0A">
        <w:rPr>
          <w:color w:val="auto"/>
        </w:rPr>
      </w:r>
      <w:r w:rsidRPr="00D25B0A">
        <w:rPr>
          <w:color w:val="auto"/>
        </w:rPr>
        <w:pict>
          <v:shape id="_x0000_s1026" type="#_x0000_t202" style="width:462.45pt;height:97.7pt;mso-position-horizontal-relative:char;mso-position-vertical-relative:line;mso-width-relative:margin;mso-height-relative:margin" fillcolor="white [3201]" strokecolor="#c0504d [3205]" strokeweight="1pt">
            <v:stroke dashstyle="dash"/>
            <v:shadow color="#868686"/>
            <v:textbox style="mso-next-textbox:#_x0000_s1026">
              <w:txbxContent>
                <w:p w:rsidR="00D9728F" w:rsidRPr="00483BF3" w:rsidRDefault="00D9728F" w:rsidP="00D9728F">
                  <w:r>
                    <w:t xml:space="preserve">Da den </w:t>
                  </w:r>
                  <w:proofErr w:type="spellStart"/>
                  <w:r>
                    <w:t>SuS</w:t>
                  </w:r>
                  <w:proofErr w:type="spellEnd"/>
                  <w:r>
                    <w:t xml:space="preserve"> die Vorgänge der Korrosion noch nicht geläufig sind, kann hier nur auf phänomenologischer Ebene gearbeitet werden. Gedanklich schließt sich dieser Versuch an  die Untersuchung von Eigenschaften von Kochsalz an (SV1-3) passt jedoch weniger gut in eine </w:t>
                  </w:r>
                  <w:proofErr w:type="spellStart"/>
                  <w:r>
                    <w:t>Stationenarbeit</w:t>
                  </w:r>
                  <w:proofErr w:type="spellEnd"/>
                  <w:r>
                    <w:t xml:space="preserve">, da der Versuch einige Stunden, d.h. bis zur nächsten Chemiestunde stehen muss. </w:t>
                  </w:r>
                </w:p>
              </w:txbxContent>
            </v:textbox>
            <w10:wrap type="none"/>
            <w10:anchorlock/>
          </v:shape>
        </w:pict>
      </w:r>
    </w:p>
    <w:p w:rsidR="00D9728F" w:rsidRPr="002202E9" w:rsidRDefault="00D9728F" w:rsidP="00D9728F">
      <w:pPr>
        <w:tabs>
          <w:tab w:val="left" w:pos="1701"/>
          <w:tab w:val="left" w:pos="1985"/>
        </w:tabs>
        <w:ind w:left="1980" w:hanging="1980"/>
        <w:rPr>
          <w:b/>
          <w:color w:val="auto"/>
        </w:rPr>
      </w:pPr>
    </w:p>
    <w:p w:rsidR="004465A0" w:rsidRDefault="004465A0"/>
    <w:sectPr w:rsidR="004465A0" w:rsidSect="004465A0">
      <w:head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98" w:rsidRDefault="006E6398" w:rsidP="00EC7C2F">
      <w:pPr>
        <w:spacing w:after="0" w:line="240" w:lineRule="auto"/>
      </w:pPr>
      <w:r>
        <w:separator/>
      </w:r>
    </w:p>
  </w:endnote>
  <w:endnote w:type="continuationSeparator" w:id="0">
    <w:p w:rsidR="006E6398" w:rsidRDefault="006E6398" w:rsidP="00EC7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98" w:rsidRDefault="006E6398" w:rsidP="00EC7C2F">
      <w:pPr>
        <w:spacing w:after="0" w:line="240" w:lineRule="auto"/>
      </w:pPr>
      <w:r>
        <w:separator/>
      </w:r>
    </w:p>
  </w:footnote>
  <w:footnote w:type="continuationSeparator" w:id="0">
    <w:p w:rsidR="006E6398" w:rsidRDefault="006E6398" w:rsidP="00EC7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EC7C2F" w:rsidRDefault="00EC7C2F" w:rsidP="00EC7C2F">
        <w:pPr>
          <w:pStyle w:val="Kopfzeile"/>
          <w:tabs>
            <w:tab w:val="left" w:pos="0"/>
            <w:tab w:val="left" w:pos="284"/>
          </w:tabs>
          <w:jc w:val="center"/>
          <w:rPr>
            <w:rFonts w:asciiTheme="majorHAnsi" w:hAnsiTheme="majorHAnsi"/>
            <w:sz w:val="20"/>
            <w:szCs w:val="20"/>
          </w:rPr>
        </w:pPr>
        <w:fldSimple w:instr=" STYLEREF  &quot;Überschrift 1&quot;  \* MERGEFORMAT ">
          <w:r w:rsidRPr="00EC7C2F">
            <w:rPr>
              <w:b/>
              <w:bCs/>
              <w:noProof/>
            </w:rPr>
            <w:t>V 7 – Korrosion durch Kochsalz</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2</w:t>
        </w:r>
        <w:r>
          <w:rPr>
            <w:rFonts w:asciiTheme="majorHAnsi" w:hAnsiTheme="majorHAnsi"/>
            <w:sz w:val="20"/>
            <w:szCs w:val="20"/>
          </w:rPr>
          <w:fldChar w:fldCharType="end"/>
        </w:r>
      </w:p>
    </w:sdtContent>
  </w:sdt>
  <w:p w:rsidR="00EC7C2F" w:rsidRDefault="00EC7C2F" w:rsidP="00EC7C2F">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60288" o:connectortype="straight"/>
      </w:pict>
    </w:r>
  </w:p>
  <w:p w:rsidR="00EC7C2F" w:rsidRDefault="00EC7C2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D9728F"/>
    <w:rsid w:val="00293ED5"/>
    <w:rsid w:val="004465A0"/>
    <w:rsid w:val="006E6398"/>
    <w:rsid w:val="008F0FF9"/>
    <w:rsid w:val="00D25B0A"/>
    <w:rsid w:val="00D9728F"/>
    <w:rsid w:val="00E60FD7"/>
    <w:rsid w:val="00EC7C2F"/>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728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9728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9728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9728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9728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9728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9728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9728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9728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9728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728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9728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9728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9728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9728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9728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9728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9728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9728F"/>
    <w:rPr>
      <w:rFonts w:asciiTheme="majorHAnsi" w:eastAsiaTheme="majorEastAsia" w:hAnsiTheme="majorHAnsi" w:cstheme="majorBidi"/>
      <w:i/>
      <w:iCs/>
      <w:color w:val="404040" w:themeColor="text1" w:themeTint="BF"/>
      <w:sz w:val="20"/>
      <w:szCs w:val="20"/>
    </w:rPr>
  </w:style>
  <w:style w:type="paragraph" w:customStyle="1" w:styleId="Default">
    <w:name w:val="Default"/>
    <w:rsid w:val="00D9728F"/>
    <w:pPr>
      <w:autoSpaceDE w:val="0"/>
      <w:autoSpaceDN w:val="0"/>
      <w:adjustRightInd w:val="0"/>
      <w:spacing w:after="0" w:line="240" w:lineRule="auto"/>
    </w:pPr>
    <w:rPr>
      <w:rFonts w:ascii="Symbol" w:hAnsi="Symbol" w:cs="Symbol"/>
      <w:color w:val="000000"/>
      <w:sz w:val="24"/>
      <w:szCs w:val="24"/>
    </w:rPr>
  </w:style>
  <w:style w:type="paragraph" w:styleId="Sprechblasentext">
    <w:name w:val="Balloon Text"/>
    <w:basedOn w:val="Standard"/>
    <w:link w:val="SprechblasentextZchn"/>
    <w:uiPriority w:val="99"/>
    <w:semiHidden/>
    <w:unhideWhenUsed/>
    <w:rsid w:val="00D972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28F"/>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EC7C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C7C2F"/>
    <w:rPr>
      <w:rFonts w:ascii="Cambria" w:hAnsi="Cambria"/>
      <w:color w:val="1D1B11" w:themeColor="background2" w:themeShade="1A"/>
    </w:rPr>
  </w:style>
  <w:style w:type="paragraph" w:styleId="Fuzeile">
    <w:name w:val="footer"/>
    <w:basedOn w:val="Standard"/>
    <w:link w:val="FuzeileZchn"/>
    <w:uiPriority w:val="99"/>
    <w:semiHidden/>
    <w:unhideWhenUsed/>
    <w:rsid w:val="00EC7C2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7C2F"/>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9439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C7DE3-DD3D-4939-915E-A4289208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771</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2013-08-13T17:00:00Z</dcterms:created>
  <dcterms:modified xsi:type="dcterms:W3CDTF">2013-08-14T18:04:00Z</dcterms:modified>
</cp:coreProperties>
</file>