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34" w:rsidRDefault="00A53634" w:rsidP="00A53634">
      <w:pPr>
        <w:pStyle w:val="berschrift1"/>
        <w:numPr>
          <w:ilvl w:val="0"/>
          <w:numId w:val="0"/>
        </w:numPr>
        <w:ind w:left="431" w:hanging="431"/>
        <w:rPr>
          <w:szCs w:val="30"/>
        </w:rPr>
      </w:pPr>
      <w:bookmarkStart w:id="0" w:name="_Toc337149079"/>
      <w:bookmarkStart w:id="1" w:name="_Toc362684316"/>
      <w:r>
        <w:rPr>
          <w:szCs w:val="30"/>
        </w:rPr>
        <w:t xml:space="preserve">V 1 – </w:t>
      </w:r>
      <w:proofErr w:type="spellStart"/>
      <w:r>
        <w:rPr>
          <w:szCs w:val="30"/>
        </w:rPr>
        <w:t>Rotwarm</w:t>
      </w:r>
      <w:proofErr w:type="spellEnd"/>
      <w:r>
        <w:rPr>
          <w:szCs w:val="30"/>
        </w:rPr>
        <w:t xml:space="preserve"> – </w:t>
      </w:r>
      <w:proofErr w:type="spellStart"/>
      <w:r>
        <w:rPr>
          <w:szCs w:val="30"/>
        </w:rPr>
        <w:t>blaukalt</w:t>
      </w:r>
      <w:bookmarkEnd w:id="0"/>
      <w:bookmarkEnd w:id="1"/>
      <w:proofErr w:type="spellEnd"/>
    </w:p>
    <w:p w:rsidR="00A53634" w:rsidRDefault="00A53634" w:rsidP="00A53634">
      <w:pPr>
        <w:pStyle w:val="berschrift1"/>
        <w:numPr>
          <w:ilvl w:val="0"/>
          <w:numId w:val="0"/>
        </w:numPr>
        <w:ind w:left="431" w:hanging="431"/>
        <w:rPr>
          <w:szCs w:val="30"/>
        </w:rPr>
      </w:pPr>
      <w:r>
        <w:rPr>
          <w:noProof/>
          <w:lang w:eastAsia="zh-TW"/>
        </w:rPr>
        <mc:AlternateContent>
          <mc:Choice Requires="wps">
            <w:drawing>
              <wp:anchor distT="0" distB="0" distL="114300" distR="114300" simplePos="0" relativeHeight="251661824" behindDoc="0" locked="0" layoutInCell="1" allowOverlap="1" wp14:anchorId="768B31C4" wp14:editId="550112A1">
                <wp:simplePos x="0" y="0"/>
                <wp:positionH relativeFrom="column">
                  <wp:posOffset>-233045</wp:posOffset>
                </wp:positionH>
                <wp:positionV relativeFrom="paragraph">
                  <wp:posOffset>141605</wp:posOffset>
                </wp:positionV>
                <wp:extent cx="5873115" cy="1116330"/>
                <wp:effectExtent l="0" t="0" r="13335" b="2667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63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3634" w:rsidRDefault="00A53634" w:rsidP="00A53634">
                            <w:pPr>
                              <w:rPr>
                                <w:color w:val="auto"/>
                              </w:rPr>
                            </w:pPr>
                            <w:r>
                              <w:rPr>
                                <w:color w:val="auto"/>
                              </w:rPr>
                              <w:t>Bei diesem Versuch wird gezeigt, dass verschieden temperiertes Wasser unterschiedliche Dic</w:t>
                            </w:r>
                            <w:r>
                              <w:rPr>
                                <w:color w:val="auto"/>
                              </w:rPr>
                              <w:t>h</w:t>
                            </w:r>
                            <w:r>
                              <w:rPr>
                                <w:color w:val="auto"/>
                              </w:rPr>
                              <w:t>ten hat. Die Stoffeigenschaft Dichte muss also bereits bekannt sein. Ein weiterer Aspekt, warum dieser Versuch eher ein Lehrerdemonstrationsversuch ist als ein Schülerexperiment, ist das ein großes Aquarium benötigt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left:0;text-align:left;margin-left:-18.35pt;margin-top:11.15pt;width:462.45pt;height:8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" fillcolor="white [3201]" strokecolor="#4bacc6 [3208]" strokeweight="1pt">
                <v:stroke dashstyle="dash"/>
                <v:shadow color="#868686"/>
                <v:textbox>
                  <w:txbxContent>
                    <w:p w:rsidR="00A53634" w:rsidRDefault="00A53634" w:rsidP="00A53634">
                      <w:pPr>
                        <w:rPr>
                          <w:color w:val="auto"/>
                        </w:rPr>
                      </w:pPr>
                      <w:r>
                        <w:rPr>
                          <w:color w:val="auto"/>
                        </w:rPr>
                        <w:t>Bei diesem Versuch wird gezeigt, dass verschieden temperiertes Wasser unterschiedliche Dic</w:t>
                      </w:r>
                      <w:r>
                        <w:rPr>
                          <w:color w:val="auto"/>
                        </w:rPr>
                        <w:t>h</w:t>
                      </w:r>
                      <w:r>
                        <w:rPr>
                          <w:color w:val="auto"/>
                        </w:rPr>
                        <w:t>ten hat. Die Stoffeigenschaft Dichte muss also bereits bekannt sein. Ein weiterer Aspekt, warum dieser Versuch eher ein Lehrerdemonstrationsversuch ist als ein Schülerexperiment, ist das ein großes Aquarium benötigt wird.</w:t>
                      </w:r>
                    </w:p>
                  </w:txbxContent>
                </v:textbox>
                <w10:wrap type="square"/>
              </v:shape>
            </w:pict>
          </mc:Fallback>
        </mc:AlternateContent>
      </w: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A53634" w:rsidTr="00A53634">
        <w:tc>
          <w:tcPr>
            <w:tcW w:w="9322" w:type="dxa"/>
            <w:gridSpan w:val="9"/>
            <w:tcBorders>
              <w:top w:val="single" w:sz="8" w:space="0" w:color="4F81BD"/>
              <w:left w:val="single" w:sz="8" w:space="0" w:color="4F81BD"/>
              <w:bottom w:val="nil"/>
              <w:right w:val="single" w:sz="8" w:space="0" w:color="4F81BD"/>
            </w:tcBorders>
            <w:shd w:val="clear" w:color="auto" w:fill="4F81BD"/>
            <w:vAlign w:val="center"/>
            <w:hideMark/>
          </w:tcPr>
          <w:p w:rsidR="00A53634" w:rsidRDefault="00A53634">
            <w:pPr>
              <w:spacing w:after="0"/>
              <w:jc w:val="center"/>
              <w:rPr>
                <w:rFonts w:eastAsiaTheme="minorHAnsi"/>
                <w:b/>
                <w:bCs/>
                <w:color w:val="1D1B11" w:themeColor="background2" w:themeShade="1A"/>
              </w:rPr>
            </w:pPr>
            <w:r>
              <w:rPr>
                <w:b/>
                <w:bCs/>
              </w:rPr>
              <w:t>Gefahrenstoffe</w:t>
            </w:r>
          </w:p>
        </w:tc>
      </w:tr>
      <w:tr w:rsidR="00A53634" w:rsidTr="00A53634">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A53634" w:rsidRDefault="00A53634">
            <w:pPr>
              <w:spacing w:after="0" w:line="276" w:lineRule="auto"/>
              <w:jc w:val="center"/>
              <w:rPr>
                <w:rFonts w:eastAsiaTheme="minorHAnsi"/>
                <w:b/>
                <w:bCs/>
                <w:color w:val="1D1B11" w:themeColor="background2" w:themeShade="1A"/>
              </w:rPr>
            </w:pPr>
            <w:r>
              <w:rPr>
                <w:sz w:val="20"/>
              </w:rPr>
              <w:t>Wasser</w:t>
            </w:r>
          </w:p>
        </w:tc>
        <w:tc>
          <w:tcPr>
            <w:tcW w:w="3177" w:type="dxa"/>
            <w:gridSpan w:val="3"/>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t>-</w:t>
            </w:r>
          </w:p>
        </w:tc>
        <w:tc>
          <w:tcPr>
            <w:tcW w:w="3118" w:type="dxa"/>
            <w:gridSpan w:val="3"/>
            <w:tcBorders>
              <w:top w:val="single" w:sz="8" w:space="0" w:color="4F81BD"/>
              <w:left w:val="nil"/>
              <w:bottom w:val="single" w:sz="8" w:space="0" w:color="4F81BD"/>
              <w:right w:val="single" w:sz="8" w:space="0" w:color="4F81BD"/>
            </w:tcBorders>
            <w:vAlign w:val="center"/>
            <w:hideMark/>
          </w:tcPr>
          <w:p w:rsidR="00A53634" w:rsidRDefault="00A53634">
            <w:pPr>
              <w:spacing w:after="0"/>
              <w:jc w:val="center"/>
              <w:rPr>
                <w:rFonts w:eastAsiaTheme="minorHAnsi"/>
                <w:color w:val="1D1B11" w:themeColor="background2" w:themeShade="1A"/>
              </w:rPr>
            </w:pPr>
            <w:r>
              <w:t>-</w:t>
            </w:r>
          </w:p>
        </w:tc>
      </w:tr>
      <w:tr w:rsidR="00A53634" w:rsidTr="00A53634">
        <w:tc>
          <w:tcPr>
            <w:tcW w:w="1009" w:type="dxa"/>
            <w:tcBorders>
              <w:top w:val="single" w:sz="8" w:space="0" w:color="4F81BD"/>
              <w:left w:val="single" w:sz="8" w:space="0" w:color="4F81BD"/>
              <w:bottom w:val="single" w:sz="8" w:space="0" w:color="4F81BD"/>
              <w:right w:val="nil"/>
            </w:tcBorders>
            <w:vAlign w:val="center"/>
            <w:hideMark/>
          </w:tcPr>
          <w:p w:rsidR="00A53634" w:rsidRDefault="00A53634">
            <w:pPr>
              <w:spacing w:after="0"/>
              <w:jc w:val="center"/>
              <w:rPr>
                <w:rFonts w:eastAsiaTheme="minorHAnsi"/>
                <w:b/>
                <w:bCs/>
                <w:color w:val="1D1B11" w:themeColor="background2" w:themeShade="1A"/>
              </w:rPr>
            </w:pPr>
            <w:r>
              <w:rPr>
                <w:b/>
                <w:noProof/>
                <w:lang w:eastAsia="zh-TW"/>
              </w:rPr>
              <w:drawing>
                <wp:inline distT="0" distB="0" distL="0" distR="0">
                  <wp:extent cx="509270" cy="509270"/>
                  <wp:effectExtent l="0" t="0" r="508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175"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93"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75"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17525" cy="517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134" w:type="dxa"/>
            <w:tcBorders>
              <w:top w:val="single" w:sz="8" w:space="0" w:color="4F81BD"/>
              <w:left w:val="nil"/>
              <w:bottom w:val="single" w:sz="8" w:space="0" w:color="4F81BD"/>
              <w:right w:val="single" w:sz="8" w:space="0" w:color="4F81BD"/>
            </w:tcBorders>
            <w:vAlign w:val="center"/>
            <w:hideMark/>
          </w:tcPr>
          <w:p w:rsidR="00A53634" w:rsidRDefault="00A53634">
            <w:pPr>
              <w:spacing w:after="0"/>
              <w:jc w:val="center"/>
              <w:rPr>
                <w:rFonts w:eastAsiaTheme="minorHAnsi"/>
                <w:color w:val="1D1B11" w:themeColor="background2" w:themeShade="1A"/>
              </w:rPr>
            </w:pPr>
            <w:r>
              <w:rPr>
                <w:noProof/>
                <w:lang w:eastAsia="zh-TW"/>
              </w:rPr>
              <w:drawing>
                <wp:inline distT="0" distB="0" distL="0" distR="0">
                  <wp:extent cx="509270" cy="509270"/>
                  <wp:effectExtent l="0" t="0" r="508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bl>
    <w:p w:rsidR="00A53634" w:rsidRDefault="00A53634" w:rsidP="00A53634">
      <w:pPr>
        <w:tabs>
          <w:tab w:val="left" w:pos="1701"/>
          <w:tab w:val="left" w:pos="1985"/>
        </w:tabs>
        <w:ind w:left="1980" w:hanging="1980"/>
        <w:rPr>
          <w:rFonts w:eastAsiaTheme="minorHAnsi" w:cstheme="minorBidi"/>
          <w:color w:val="1D1B11" w:themeColor="background2" w:themeShade="1A"/>
        </w:rPr>
      </w:pPr>
    </w:p>
    <w:p w:rsidR="00A53634" w:rsidRDefault="00A53634" w:rsidP="00A53634">
      <w:pPr>
        <w:tabs>
          <w:tab w:val="left" w:pos="1701"/>
          <w:tab w:val="left" w:pos="1985"/>
        </w:tabs>
        <w:ind w:left="1980" w:hanging="1980"/>
      </w:pPr>
      <w:r>
        <w:t xml:space="preserve">Materialien: </w:t>
      </w:r>
      <w:r>
        <w:tab/>
      </w:r>
      <w:r>
        <w:tab/>
        <w:t xml:space="preserve">Aquarium, 2 250-mL-Bechergläser, Bunsenbrenner, Dreifuß, Drahtnetz, 2 Glasflaschen (200 </w:t>
      </w:r>
      <w:proofErr w:type="spellStart"/>
      <w:r>
        <w:t>mL</w:t>
      </w:r>
      <w:proofErr w:type="spellEnd"/>
      <w:r>
        <w:t>), 2 Gummistopfen, rote und blaue Lebensmittelfarbe, Plastikschale, Thermometer</w:t>
      </w:r>
    </w:p>
    <w:p w:rsidR="00A53634" w:rsidRDefault="00A53634" w:rsidP="00A53634">
      <w:pPr>
        <w:tabs>
          <w:tab w:val="left" w:pos="1701"/>
          <w:tab w:val="left" w:pos="1985"/>
        </w:tabs>
        <w:ind w:left="1980" w:hanging="1980"/>
      </w:pPr>
      <w:r>
        <w:t>Chemikalien:</w:t>
      </w:r>
      <w:r>
        <w:tab/>
      </w:r>
      <w:r>
        <w:tab/>
        <w:t>Wasser, Eis</w:t>
      </w:r>
    </w:p>
    <w:p w:rsidR="00A53634" w:rsidRDefault="00A53634" w:rsidP="00A53634">
      <w:pPr>
        <w:tabs>
          <w:tab w:val="left" w:pos="1701"/>
          <w:tab w:val="left" w:pos="1985"/>
        </w:tabs>
        <w:ind w:left="1980" w:hanging="1980"/>
        <w:rPr>
          <w:rFonts w:eastAsia="PMingLiU"/>
          <w:lang w:eastAsia="zh-TW"/>
        </w:rPr>
      </w:pPr>
      <w:r>
        <w:t xml:space="preserve">Durchführung: </w:t>
      </w:r>
      <w:r>
        <w:tab/>
      </w:r>
      <w:r>
        <w:tab/>
      </w:r>
      <w:r>
        <w:tab/>
        <w:t xml:space="preserve"> In beide Bechergläser werden ungefähr 200 </w:t>
      </w:r>
      <w:proofErr w:type="spellStart"/>
      <w:r>
        <w:t>mL</w:t>
      </w:r>
      <w:proofErr w:type="spellEnd"/>
      <w:r>
        <w:t xml:space="preserve"> Wasser gegeben. Das Wasser in dem einen Becherglas wird mit dem Bunsenbrenner auf dem Drahtnetz auf ungefähr 60</w:t>
      </w:r>
      <w:r>
        <w:rPr>
          <w:rFonts w:eastAsia="PMingLiU"/>
          <w:lang w:val="en-US" w:eastAsia="zh-TW"/>
        </w:rPr>
        <w:t> </w:t>
      </w:r>
      <w:r>
        <w:rPr>
          <w:rFonts w:eastAsia="PMingLiU"/>
          <w:lang w:eastAsia="zh-TW"/>
        </w:rPr>
        <w:t>°C erhitzt und mit roter Lebensmittel Farbe ve</w:t>
      </w:r>
      <w:r>
        <w:rPr>
          <w:rFonts w:eastAsia="PMingLiU"/>
          <w:lang w:eastAsia="zh-TW"/>
        </w:rPr>
        <w:t>r</w:t>
      </w:r>
      <w:r>
        <w:rPr>
          <w:rFonts w:eastAsia="PMingLiU"/>
          <w:lang w:eastAsia="zh-TW"/>
        </w:rPr>
        <w:t xml:space="preserve">setzt. Gleichzeitig wird das andere Becherglas in ein </w:t>
      </w:r>
      <w:proofErr w:type="spellStart"/>
      <w:r>
        <w:rPr>
          <w:rFonts w:eastAsia="PMingLiU"/>
          <w:lang w:eastAsia="zh-TW"/>
        </w:rPr>
        <w:t>Eisbad</w:t>
      </w:r>
      <w:proofErr w:type="spellEnd"/>
      <w:r>
        <w:rPr>
          <w:rFonts w:eastAsia="PMingLiU"/>
          <w:lang w:eastAsia="zh-TW"/>
        </w:rPr>
        <w:t xml:space="preserve"> gestellt, bis das Wasser ungefähr 4 °C kalt ist. Das Wasser wird dann mit blauer Lebensmi</w:t>
      </w:r>
      <w:r>
        <w:rPr>
          <w:rFonts w:eastAsia="PMingLiU"/>
          <w:lang w:eastAsia="zh-TW"/>
        </w:rPr>
        <w:t>t</w:t>
      </w:r>
      <w:r>
        <w:rPr>
          <w:rFonts w:eastAsia="PMingLiU"/>
          <w:lang w:eastAsia="zh-TW"/>
        </w:rPr>
        <w:t xml:space="preserve">telfarbe versetzt. Das Aquarium wird mit so viel Wasser </w:t>
      </w:r>
      <w:proofErr w:type="spellStart"/>
      <w:r>
        <w:rPr>
          <w:rFonts w:eastAsia="PMingLiU"/>
          <w:lang w:eastAsia="zh-TW"/>
        </w:rPr>
        <w:t>befüllt</w:t>
      </w:r>
      <w:proofErr w:type="spellEnd"/>
      <w:r>
        <w:rPr>
          <w:rFonts w:eastAsia="PMingLiU"/>
          <w:lang w:eastAsia="zh-TW"/>
        </w:rPr>
        <w:t xml:space="preserve">, </w:t>
      </w:r>
      <w:proofErr w:type="gramStart"/>
      <w:r>
        <w:rPr>
          <w:rFonts w:eastAsia="PMingLiU"/>
          <w:lang w:eastAsia="zh-TW"/>
        </w:rPr>
        <w:t>dass</w:t>
      </w:r>
      <w:proofErr w:type="gramEnd"/>
      <w:r>
        <w:rPr>
          <w:rFonts w:eastAsia="PMingLiU"/>
          <w:lang w:eastAsia="zh-TW"/>
        </w:rPr>
        <w:t xml:space="preserve"> eine der beiden Flaschen aufrecht stehen kann und sich der Verschluss unter der Wasseroberfläche befindet. Anschließend werden beide Flüssigkeiten jeweils in eine Flasche gegeben und mit einem Stopfen verschlossen. Die Flasche mit dem warmen Wasser wird aufrecht in das Aquarium gestellt und die Flasche mit dem kalten Wasser wird auf den Boden gelegt. Nun werden die Stopfen entfernt.</w:t>
      </w:r>
    </w:p>
    <w:p w:rsidR="00A53634" w:rsidRDefault="00A53634" w:rsidP="00A53634">
      <w:pPr>
        <w:tabs>
          <w:tab w:val="left" w:pos="1701"/>
          <w:tab w:val="left" w:pos="1985"/>
        </w:tabs>
        <w:ind w:left="1980" w:hanging="1980"/>
        <w:rPr>
          <w:rFonts w:eastAsiaTheme="minorHAnsi"/>
        </w:rPr>
      </w:pPr>
      <w:r>
        <w:t>Beobachtung:</w:t>
      </w:r>
      <w:r>
        <w:tab/>
      </w:r>
      <w:r>
        <w:tab/>
      </w:r>
      <w:r>
        <w:tab/>
        <w:t xml:space="preserve">Im Verlauf des Versuches setzt sich das Wasser mit dem blauen Farbstoff auf dem Boden ab und verweilt dort. Das Wasser mit dem roten Farbstoff </w:t>
      </w:r>
      <w:r>
        <w:lastRenderedPageBreak/>
        <w:t>verteilt sich unter der Wasseroberfläche. Das Wasser mit der roten Farbe verteilt sich wesentlich schneller als das mit der blauen Farbe.</w:t>
      </w:r>
    </w:p>
    <w:p w:rsidR="00A53634" w:rsidRDefault="00A53634" w:rsidP="00A53634">
      <w:pPr>
        <w:keepNext/>
        <w:tabs>
          <w:tab w:val="left" w:pos="1701"/>
          <w:tab w:val="left" w:pos="1985"/>
        </w:tabs>
        <w:ind w:left="1980" w:hanging="1980"/>
        <w:jc w:val="center"/>
      </w:pPr>
      <w:r>
        <w:rPr>
          <w:noProof/>
          <w:lang w:eastAsia="zh-TW"/>
        </w:rPr>
        <w:drawing>
          <wp:inline distT="0" distB="0" distL="0" distR="0">
            <wp:extent cx="1682115" cy="2406650"/>
            <wp:effectExtent l="76200" t="76200" r="70485" b="127000"/>
            <wp:docPr id="5" name="Grafik 5"/>
            <wp:cNvGraphicFramePr/>
            <a:graphic xmlns:a="http://schemas.openxmlformats.org/drawingml/2006/main">
              <a:graphicData uri="http://schemas.openxmlformats.org/drawingml/2006/picture">
                <pic:pic xmlns:pic="http://schemas.openxmlformats.org/drawingml/2006/picture">
                  <pic:nvPicPr>
                    <pic:cNvPr id="5" name="Bild 5"/>
                    <pic:cNvPicPr/>
                  </pic:nvPicPr>
                  <pic:blipFill rotWithShape="1">
                    <a:blip r:embed="rId18" cstate="print">
                      <a:extLst>
                        <a:ext uri="{28A0092B-C50C-407E-A947-70E740481C1C}">
                          <a14:useLocalDpi xmlns:a14="http://schemas.microsoft.com/office/drawing/2010/main" val="0"/>
                        </a:ext>
                      </a:extLst>
                    </a:blip>
                    <a:srcRect l="17634" r="21795"/>
                    <a:stretch/>
                  </pic:blipFill>
                  <pic:spPr bwMode="auto">
                    <a:xfrm>
                      <a:off x="0" y="0"/>
                      <a:ext cx="1504950" cy="223837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noProof/>
          <w:lang w:eastAsia="zh-TW"/>
        </w:rPr>
        <w:drawing>
          <wp:inline distT="0" distB="0" distL="0" distR="0">
            <wp:extent cx="2769235" cy="2406650"/>
            <wp:effectExtent l="76200" t="76200" r="126365" b="10795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88895" cy="2233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53634" w:rsidRDefault="00A53634" w:rsidP="00A53634">
      <w:pPr>
        <w:pStyle w:val="Beschriftung"/>
        <w:jc w:val="center"/>
        <w:rPr>
          <w:noProof/>
        </w:rP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links Versuchsaufbau, rechts kaltes, blaugefärbtes Wasser sinkt zum Boden</w:t>
      </w:r>
    </w:p>
    <w:p w:rsidR="00A53634" w:rsidRDefault="00A53634" w:rsidP="00A53634">
      <w:pPr>
        <w:tabs>
          <w:tab w:val="left" w:pos="1701"/>
          <w:tab w:val="left" w:pos="1985"/>
        </w:tabs>
        <w:ind w:left="1980" w:hanging="1980"/>
        <w:rPr>
          <w:rFonts w:eastAsiaTheme="minorEastAsia"/>
        </w:rPr>
      </w:pPr>
      <w:r>
        <w:t>Deutung:</w:t>
      </w:r>
      <w:r>
        <w:tab/>
      </w:r>
      <w:r>
        <w:tab/>
        <w:t>Wasser hat bei verschiedenen Temperaturen unterschiedliche Dichten. Bei 4 °C hat Wasser die höchste Dichte, weshalb sich das Wasser mit der bla</w:t>
      </w:r>
      <w:r>
        <w:t>u</w:t>
      </w:r>
      <w:r>
        <w:t>en Farbe am Boden absetzt. Das ungefähr 60 ° heiße Wasser hat eine nie</w:t>
      </w:r>
      <w:r>
        <w:t>d</w:t>
      </w:r>
      <w:r>
        <w:t>rigere Dichte als das Wasser bei Raumtemperatur, weshalb es sich an der Wasseroberfläche befindet. Das Wasser mit der roten Farbe verteilt sich schneller, da sich die Teilchen schneller bewegen. Das andere Wasser ve</w:t>
      </w:r>
      <w:r>
        <w:t>r</w:t>
      </w:r>
      <w:r>
        <w:t>teilt sich langsam, da dieses kalt ist, die Teilchen bewegen sich langsamer.</w:t>
      </w:r>
    </w:p>
    <w:p w:rsidR="00DC6440" w:rsidRDefault="00A53634" w:rsidP="00A53634">
      <w:pPr>
        <w:rPr>
          <w:rFonts w:eastAsiaTheme="minorEastAsia"/>
        </w:rPr>
      </w:pPr>
      <w:r>
        <w:t>Literatur:</w:t>
      </w:r>
      <w:r>
        <w:tab/>
        <w:t xml:space="preserve">H. </w:t>
      </w:r>
      <w:proofErr w:type="spellStart"/>
      <w:r>
        <w:t>Schmidkunz</w:t>
      </w:r>
      <w:proofErr w:type="spellEnd"/>
      <w:r>
        <w:t xml:space="preserve">, Chemische Freihandversuche – Band 1, </w:t>
      </w:r>
      <w:proofErr w:type="spellStart"/>
      <w:r>
        <w:t>Aulis</w:t>
      </w:r>
      <w:proofErr w:type="spellEnd"/>
      <w:r>
        <w:t>, 2011, S. 181.</w:t>
      </w:r>
      <w:r>
        <w:rPr>
          <w:rFonts w:eastAsiaTheme="minorEastAsia"/>
        </w:rPr>
        <w:t xml:space="preserve"> </w:t>
      </w:r>
    </w:p>
    <w:p w:rsidR="00BE6DD9" w:rsidRPr="00DC6440" w:rsidRDefault="00A53634" w:rsidP="00DC6440">
      <w:bookmarkStart w:id="2" w:name="_GoBack"/>
      <w:r>
        <w:rPr>
          <w:noProof/>
          <w:lang w:eastAsia="zh-TW"/>
        </w:rPr>
        <mc:AlternateContent>
          <mc:Choice Requires="wps">
            <w:drawing>
              <wp:inline distT="0" distB="0" distL="0" distR="0">
                <wp:extent cx="5732145" cy="1492998"/>
                <wp:effectExtent l="0" t="0" r="20955" b="12065"/>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492998"/>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3634" w:rsidRDefault="00A53634" w:rsidP="00A53634">
                            <w:r>
                              <w:t>Dieser Versuch kann auch genutzt werden, um das Ökosystem Teich zu erarbeiten. Er e</w:t>
                            </w:r>
                            <w:r>
                              <w:t>r</w:t>
                            </w:r>
                            <w:r>
                              <w:t xml:space="preserve">möglicht also auch die Verknüpfung von verschiedenen Bereichen des </w:t>
                            </w:r>
                            <w:proofErr w:type="spellStart"/>
                            <w:r>
                              <w:t>NaWi</w:t>
                            </w:r>
                            <w:proofErr w:type="spellEnd"/>
                            <w:r>
                              <w:t>-Unterrichts. Statt eines Aquariums kann auch eine Plastikwanne verwendet werden. Es kann auch übe</w:t>
                            </w:r>
                            <w:r>
                              <w:t>r</w:t>
                            </w:r>
                            <w:r>
                              <w:t>legt werden, diesen Versuch in einem kleineren Maßstab durchzuführen und die Flaschen durch Schnappgläschen zu ersetzen, ein kleineres Gefäß zu benutzen. Durch die Änderung des Maßstabs und der Materialien kann dieser Versuch auch als Schülerexperiment durchg</w:t>
                            </w:r>
                            <w:r>
                              <w:t>e</w:t>
                            </w:r>
                            <w:r>
                              <w:t>führt werden.</w:t>
                            </w:r>
                          </w:p>
                        </w:txbxContent>
                      </wps:txbx>
                      <wps:bodyPr rot="0" vert="horz" wrap="square" lIns="91440" tIns="45720" rIns="91440" bIns="45720" anchor="t" anchorCtr="0" upright="1">
                        <a:noAutofit/>
                      </wps:bodyPr>
                    </wps:wsp>
                  </a:graphicData>
                </a:graphic>
              </wp:inline>
            </w:drawing>
          </mc:Choice>
          <mc:Fallback>
            <w:pict>
              <v:shape id="Textfeld 16" o:spid="_x0000_s1027" type="#_x0000_t202" style="width:451.35pt;height:1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" strokecolor="#c0504d" strokeweight="1pt">
                <v:stroke dashstyle="dash"/>
                <v:shadow color="#868686"/>
                <v:textbox>
                  <w:txbxContent>
                    <w:p w:rsidR="00A53634" w:rsidRDefault="00A53634" w:rsidP="00A53634">
                      <w:r>
                        <w:t>Dieser Versuch kann auch genutzt werden, um das Ökosystem Teich zu erarbeiten. Er e</w:t>
                      </w:r>
                      <w:r>
                        <w:t>r</w:t>
                      </w:r>
                      <w:r>
                        <w:t xml:space="preserve">möglicht also auch die Verknüpfung von verschiedenen Bereichen des </w:t>
                      </w:r>
                      <w:proofErr w:type="spellStart"/>
                      <w:r>
                        <w:t>NaWi</w:t>
                      </w:r>
                      <w:proofErr w:type="spellEnd"/>
                      <w:r>
                        <w:t>-Unterrichts. Statt eines Aquariums kann auch eine Plastikwanne verwendet werden. Es kann auch übe</w:t>
                      </w:r>
                      <w:r>
                        <w:t>r</w:t>
                      </w:r>
                      <w:r>
                        <w:t>legt werden, diesen Versuch in einem kleineren Maßstab durchzuführen und die Flaschen durch Schnappgläschen zu ersetzen, ein kleineres Gefäß zu benutzen. Durch die Änderung des Maßstabs und der Materialien kann dieser Versuch auch als Schülerexperiment durchg</w:t>
                      </w:r>
                      <w:r>
                        <w:t>e</w:t>
                      </w:r>
                      <w:r>
                        <w:t>führt werden.</w:t>
                      </w:r>
                    </w:p>
                  </w:txbxContent>
                </v:textbox>
                <w10:anchorlock/>
              </v:shape>
            </w:pict>
          </mc:Fallback>
        </mc:AlternateContent>
      </w:r>
      <w:bookmarkEnd w:id="2"/>
    </w:p>
    <w:sectPr w:rsidR="00BE6DD9" w:rsidRPr="00DC6440" w:rsidSect="00105256">
      <w:headerReference w:type="default" r:id="rId2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7A" w:rsidRDefault="007F5F7A" w:rsidP="009524CC">
      <w:pPr>
        <w:spacing w:after="0"/>
      </w:pPr>
      <w:r>
        <w:separator/>
      </w:r>
    </w:p>
  </w:endnote>
  <w:endnote w:type="continuationSeparator" w:id="0">
    <w:p w:rsidR="007F5F7A" w:rsidRDefault="007F5F7A"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7A" w:rsidRDefault="007F5F7A" w:rsidP="009524CC">
      <w:pPr>
        <w:spacing w:after="0"/>
      </w:pPr>
      <w:r>
        <w:separator/>
      </w:r>
    </w:p>
  </w:footnote>
  <w:footnote w:type="continuationSeparator" w:id="0">
    <w:p w:rsidR="007F5F7A" w:rsidRDefault="007F5F7A"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A53634">
            <w:rPr>
              <w:sz w:val="20"/>
              <w:szCs w:val="20"/>
            </w:rPr>
            <w:fldChar w:fldCharType="separate"/>
          </w:r>
          <w:r w:rsidR="00A53634">
            <w:rPr>
              <w:noProof/>
              <w:sz w:val="20"/>
              <w:szCs w:val="20"/>
            </w:rPr>
            <w:t>V 1 – Rotwarm – blaukalt</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5363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5F7A"/>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634"/>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195"/>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4105665">
      <w:bodyDiv w:val="1"/>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ACEE-235C-4111-B1FA-BE1E9A02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2013-08-14T19:33:00Z</dcterms:created>
  <dcterms:modified xsi:type="dcterms:W3CDTF">2013-08-14T19:33:00Z</dcterms:modified>
</cp:coreProperties>
</file>