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07" w:rsidRDefault="00816907" w:rsidP="00816907"/>
    <w:p w:rsidR="00816907" w:rsidRDefault="00816907" w:rsidP="00816907">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00.5pt;z-index:251660288;mso-width-relative:margin;mso-height-relative:margin" fillcolor="white [3201]" strokecolor="#4bacc6 [3208]" strokeweight="1pt">
            <v:stroke dashstyle="dash"/>
            <v:shadow color="#868686"/>
            <v:textbox style="mso-next-textbox:#_x0000_s1027">
              <w:txbxContent>
                <w:p w:rsidR="00816907" w:rsidRPr="009B35BC" w:rsidRDefault="00816907" w:rsidP="00816907">
                  <w:pPr>
                    <w:rPr>
                      <w:color w:val="auto"/>
                    </w:rPr>
                  </w:pPr>
                  <w:r w:rsidRPr="009B35BC">
                    <w:rPr>
                      <w:color w:val="auto"/>
                    </w:rPr>
                    <w:t>Dieser Versuch schließt sich inhaltlich an V1 und V2 an und ergänzt sie. Er zeigt den Schülern  und Schülerinnen noch einmal, dass die visuelle Wahrnehmung täuschen kann und verdeu</w:t>
                  </w:r>
                  <w:r w:rsidRPr="009B35BC">
                    <w:rPr>
                      <w:color w:val="auto"/>
                    </w:rPr>
                    <w:t>t</w:t>
                  </w:r>
                  <w:r w:rsidRPr="009B35BC">
                    <w:rPr>
                      <w:color w:val="auto"/>
                    </w:rPr>
                    <w:t>licht den Unterschied zwischen einer normalen Waage und einer Feinwaage. Des</w:t>
                  </w:r>
                  <w:r>
                    <w:rPr>
                      <w:color w:val="auto"/>
                    </w:rPr>
                    <w:t xml:space="preserve"> W</w:t>
                  </w:r>
                  <w:r w:rsidRPr="009B35BC">
                    <w:rPr>
                      <w:color w:val="auto"/>
                    </w:rPr>
                    <w:t>eiteren sollte den Schülern und Schülerinnen dabei die Bedeutung des sorgfältigen Arbeitens mit Messgeräten bewusst werden.</w:t>
                  </w:r>
                </w:p>
              </w:txbxContent>
            </v:textbox>
            <w10:wrap type="square"/>
          </v:shape>
        </w:pict>
      </w:r>
      <w:bookmarkStart w:id="0" w:name="_Toc395771918"/>
      <w:r>
        <w:t>V 3 – Feinwaage</w:t>
      </w:r>
      <w:bookmarkEnd w:id="0"/>
    </w:p>
    <w:p w:rsidR="00816907" w:rsidRDefault="00816907" w:rsidP="00816907"/>
    <w:p w:rsidR="00816907" w:rsidRDefault="00816907" w:rsidP="00816907">
      <w:pPr>
        <w:tabs>
          <w:tab w:val="left" w:pos="1701"/>
          <w:tab w:val="left" w:pos="1985"/>
        </w:tabs>
        <w:ind w:left="1980" w:hanging="1980"/>
      </w:pPr>
      <w:r>
        <w:t xml:space="preserve">Materialien: </w:t>
      </w:r>
      <w:r>
        <w:tab/>
      </w:r>
      <w:r>
        <w:tab/>
        <w:t xml:space="preserve">2 Bechergläser [250 </w:t>
      </w:r>
      <w:proofErr w:type="spellStart"/>
      <w:r>
        <w:t>mL</w:t>
      </w:r>
      <w:proofErr w:type="spellEnd"/>
      <w:r>
        <w:t>], 2 Uhrgläser, Spatel, Waage, Feinwaage</w:t>
      </w:r>
    </w:p>
    <w:p w:rsidR="00816907" w:rsidRPr="00ED07C2" w:rsidRDefault="00816907" w:rsidP="00816907">
      <w:pPr>
        <w:tabs>
          <w:tab w:val="left" w:pos="1701"/>
          <w:tab w:val="left" w:pos="1985"/>
        </w:tabs>
        <w:ind w:left="1980" w:hanging="1980"/>
      </w:pPr>
      <w:r>
        <w:t>Chemikalien:</w:t>
      </w:r>
      <w:r>
        <w:tab/>
      </w:r>
      <w:r>
        <w:tab/>
        <w:t>Wasser, Sand, Zucker</w:t>
      </w:r>
    </w:p>
    <w:p w:rsidR="00816907" w:rsidRDefault="00816907" w:rsidP="00816907">
      <w:pPr>
        <w:tabs>
          <w:tab w:val="left" w:pos="1701"/>
          <w:tab w:val="left" w:pos="1985"/>
        </w:tabs>
        <w:ind w:left="1980" w:hanging="1980"/>
      </w:pPr>
      <w:r>
        <w:t xml:space="preserve">Durchführung: </w:t>
      </w:r>
      <w:r>
        <w:tab/>
      </w:r>
      <w:r>
        <w:tab/>
      </w:r>
      <w:r>
        <w:tab/>
        <w:t xml:space="preserve">Versuchsteil a): In ein Becherglas wird bis zur 200 </w:t>
      </w:r>
      <w:proofErr w:type="spellStart"/>
      <w:r>
        <w:t>mL</w:t>
      </w:r>
      <w:proofErr w:type="spellEnd"/>
      <w:r>
        <w:t xml:space="preserve"> Marke Wasser g</w:t>
      </w:r>
      <w:r>
        <w:t>e</w:t>
      </w:r>
      <w:r>
        <w:t xml:space="preserve">füllt, in das zweite bis zur 200 </w:t>
      </w:r>
      <w:proofErr w:type="spellStart"/>
      <w:r>
        <w:t>mL</w:t>
      </w:r>
      <w:proofErr w:type="spellEnd"/>
      <w:r>
        <w:t xml:space="preserve"> Marke Sand. Beide Bechergläser werden nacheinander auf einer Waage gewogen und die Werte notiert. Anschli</w:t>
      </w:r>
      <w:r>
        <w:t>e</w:t>
      </w:r>
      <w:r>
        <w:t xml:space="preserve">ßend werden die Bechergläser jeweils geleert, erneut gewogen, die Werte notiert und von den zuvor erhaltenen Werten abgezogen. Die Gewichte von Sand und Wasser bei einem Volumen von 200 </w:t>
      </w:r>
      <w:proofErr w:type="spellStart"/>
      <w:r>
        <w:t>mL</w:t>
      </w:r>
      <w:proofErr w:type="spellEnd"/>
      <w:r>
        <w:t xml:space="preserve"> werden verglichen. </w:t>
      </w:r>
    </w:p>
    <w:p w:rsidR="00816907" w:rsidRDefault="00816907" w:rsidP="00816907">
      <w:pPr>
        <w:tabs>
          <w:tab w:val="left" w:pos="1701"/>
          <w:tab w:val="left" w:pos="1985"/>
        </w:tabs>
        <w:ind w:left="1980" w:hanging="1980"/>
      </w:pPr>
      <w:r>
        <w:tab/>
      </w:r>
      <w:r>
        <w:tab/>
        <w:t>Versuchsteil b): Auf einer Waage werden auf zwei Uhrgläsern jeweils 2 g Zucker abgewogen. Anschließend werden die Uhrgläser auf einer Feinwa</w:t>
      </w:r>
      <w:r>
        <w:t>a</w:t>
      </w:r>
      <w:r>
        <w:t>ge gewogen und die Werte notiert. Als drittes werden die Uhrgläser jeweils leer auf der Feinwaage gewogen und die erhaltenen Werte von den Werten mit Zucker abgezogen. Die so errechneten Massen an Zucker werden mite</w:t>
      </w:r>
      <w:r>
        <w:t>i</w:t>
      </w:r>
      <w:r>
        <w:t xml:space="preserve">nander verglichen. </w:t>
      </w:r>
    </w:p>
    <w:p w:rsidR="00816907" w:rsidRDefault="00816907" w:rsidP="00816907">
      <w:pPr>
        <w:tabs>
          <w:tab w:val="left" w:pos="1701"/>
          <w:tab w:val="left" w:pos="1985"/>
        </w:tabs>
        <w:ind w:left="1980" w:hanging="1980"/>
      </w:pPr>
      <w:r>
        <w:t>Beobachtung:</w:t>
      </w:r>
      <w:r>
        <w:tab/>
      </w:r>
      <w:r>
        <w:tab/>
        <w:t>Versuchsteil a): Der Sand wiegt mehr als das Wasser.</w:t>
      </w:r>
    </w:p>
    <w:p w:rsidR="00816907" w:rsidRDefault="00816907" w:rsidP="00816907">
      <w:pPr>
        <w:tabs>
          <w:tab w:val="left" w:pos="1701"/>
          <w:tab w:val="left" w:pos="1985"/>
        </w:tabs>
        <w:ind w:left="1980" w:hanging="1980"/>
      </w:pPr>
      <w:r>
        <w:tab/>
      </w:r>
      <w:r>
        <w:tab/>
        <w:t>Versuchsteil b):</w:t>
      </w:r>
      <w:r>
        <w:tab/>
        <w:t xml:space="preserve">Die auf der normalen Waage abgewogenen 2 g sind bei Überprüfung mit der Feinwaage nicht genau gleich. </w:t>
      </w:r>
    </w:p>
    <w:p w:rsidR="00816907" w:rsidRDefault="00816907" w:rsidP="00816907">
      <w:pPr>
        <w:tabs>
          <w:tab w:val="left" w:pos="1701"/>
          <w:tab w:val="left" w:pos="1985"/>
        </w:tabs>
        <w:ind w:left="1980" w:hanging="1980"/>
      </w:pPr>
    </w:p>
    <w:p w:rsidR="00816907" w:rsidRDefault="00816907" w:rsidP="00816907">
      <w:pPr>
        <w:tabs>
          <w:tab w:val="left" w:pos="1701"/>
          <w:tab w:val="left" w:pos="1985"/>
        </w:tabs>
        <w:ind w:left="1980" w:hanging="1980"/>
      </w:pPr>
    </w:p>
    <w:p w:rsidR="00816907" w:rsidRDefault="00816907" w:rsidP="00816907">
      <w:pPr>
        <w:keepNext/>
        <w:tabs>
          <w:tab w:val="left" w:pos="1701"/>
          <w:tab w:val="left" w:pos="1985"/>
        </w:tabs>
        <w:ind w:left="1980" w:hanging="1980"/>
      </w:pPr>
    </w:p>
    <w:p w:rsidR="00816907" w:rsidRDefault="00816907" w:rsidP="00816907">
      <w:pPr>
        <w:pStyle w:val="Beschriftung"/>
        <w:jc w:val="left"/>
      </w:pPr>
    </w:p>
    <w:p w:rsidR="00816907" w:rsidRDefault="00816907" w:rsidP="00816907">
      <w:pPr>
        <w:pStyle w:val="Beschriftung"/>
        <w:jc w:val="left"/>
      </w:pPr>
    </w:p>
    <w:p w:rsidR="00816907" w:rsidRDefault="00816907" w:rsidP="00816907">
      <w:pPr>
        <w:pStyle w:val="Beschriftung"/>
        <w:jc w:val="left"/>
      </w:pPr>
      <w:r>
        <w:rPr>
          <w:noProof/>
          <w:lang w:eastAsia="de-DE"/>
        </w:rPr>
        <w:drawing>
          <wp:anchor distT="0" distB="0" distL="114300" distR="114300" simplePos="0" relativeHeight="251663360" behindDoc="0" locked="0" layoutInCell="1" allowOverlap="1">
            <wp:simplePos x="0" y="0"/>
            <wp:positionH relativeFrom="column">
              <wp:posOffset>619125</wp:posOffset>
            </wp:positionH>
            <wp:positionV relativeFrom="paragraph">
              <wp:posOffset>-156845</wp:posOffset>
            </wp:positionV>
            <wp:extent cx="800100" cy="1209675"/>
            <wp:effectExtent l="19050" t="0" r="0" b="0"/>
            <wp:wrapNone/>
            <wp:docPr id="15" name="Grafik 3" descr="IMG_1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68.JPG"/>
                    <pic:cNvPicPr/>
                  </pic:nvPicPr>
                  <pic:blipFill>
                    <a:blip r:embed="rId5" cstate="print"/>
                    <a:srcRect/>
                    <a:stretch>
                      <a:fillRect/>
                    </a:stretch>
                  </pic:blipFill>
                  <pic:spPr>
                    <a:xfrm>
                      <a:off x="0" y="0"/>
                      <a:ext cx="800100" cy="1209675"/>
                    </a:xfrm>
                    <a:prstGeom prst="rect">
                      <a:avLst/>
                    </a:prstGeom>
                  </pic:spPr>
                </pic:pic>
              </a:graphicData>
            </a:graphic>
          </wp:anchor>
        </w:drawing>
      </w:r>
      <w:r>
        <w:rPr>
          <w:noProof/>
          <w:lang w:eastAsia="de-DE"/>
        </w:rPr>
        <w:drawing>
          <wp:anchor distT="0" distB="0" distL="114300" distR="114300" simplePos="0" relativeHeight="251664384" behindDoc="1" locked="0" layoutInCell="1" allowOverlap="1">
            <wp:simplePos x="0" y="0"/>
            <wp:positionH relativeFrom="column">
              <wp:posOffset>4719955</wp:posOffset>
            </wp:positionH>
            <wp:positionV relativeFrom="paragraph">
              <wp:posOffset>-156210</wp:posOffset>
            </wp:positionV>
            <wp:extent cx="847725" cy="1200150"/>
            <wp:effectExtent l="19050" t="0" r="9525" b="0"/>
            <wp:wrapTight wrapText="bothSides">
              <wp:wrapPolygon edited="0">
                <wp:start x="-485" y="0"/>
                <wp:lineTo x="-485" y="21257"/>
                <wp:lineTo x="21843" y="21257"/>
                <wp:lineTo x="21843" y="0"/>
                <wp:lineTo x="-485" y="0"/>
              </wp:wrapPolygon>
            </wp:wrapTight>
            <wp:docPr id="16" name="Grafik 15" descr="IMG_1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67.JPG"/>
                    <pic:cNvPicPr/>
                  </pic:nvPicPr>
                  <pic:blipFill>
                    <a:blip r:embed="rId6" cstate="print"/>
                    <a:srcRect/>
                    <a:stretch>
                      <a:fillRect/>
                    </a:stretch>
                  </pic:blipFill>
                  <pic:spPr>
                    <a:xfrm>
                      <a:off x="0" y="0"/>
                      <a:ext cx="847725" cy="1200150"/>
                    </a:xfrm>
                    <a:prstGeom prst="rect">
                      <a:avLst/>
                    </a:prstGeom>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-23495</wp:posOffset>
            </wp:positionH>
            <wp:positionV relativeFrom="paragraph">
              <wp:posOffset>-185420</wp:posOffset>
            </wp:positionV>
            <wp:extent cx="2454275" cy="1200150"/>
            <wp:effectExtent l="19050" t="0" r="3175" b="0"/>
            <wp:wrapThrough wrapText="bothSides">
              <wp:wrapPolygon edited="0">
                <wp:start x="-168" y="0"/>
                <wp:lineTo x="-168" y="21257"/>
                <wp:lineTo x="21628" y="21257"/>
                <wp:lineTo x="21628" y="0"/>
                <wp:lineTo x="-168" y="0"/>
              </wp:wrapPolygon>
            </wp:wrapThrough>
            <wp:docPr id="3" name="Grafik 2" descr="IMG_1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66.JPG"/>
                    <pic:cNvPicPr/>
                  </pic:nvPicPr>
                  <pic:blipFill>
                    <a:blip r:embed="rId7" cstate="print"/>
                    <a:srcRect/>
                    <a:stretch>
                      <a:fillRect/>
                    </a:stretch>
                  </pic:blipFill>
                  <pic:spPr>
                    <a:xfrm>
                      <a:off x="0" y="0"/>
                      <a:ext cx="2454275" cy="1200150"/>
                    </a:xfrm>
                    <a:prstGeom prst="rect">
                      <a:avLst/>
                    </a:prstGeom>
                  </pic:spPr>
                </pic:pic>
              </a:graphicData>
            </a:graphic>
          </wp:anchor>
        </w:drawing>
      </w:r>
    </w:p>
    <w:p w:rsidR="00816907" w:rsidRDefault="00816907" w:rsidP="00816907">
      <w:pPr>
        <w:pStyle w:val="Beschriftung"/>
        <w:jc w:val="left"/>
      </w:pPr>
    </w:p>
    <w:p w:rsidR="00816907" w:rsidRDefault="00816907" w:rsidP="00816907">
      <w:pPr>
        <w:pStyle w:val="Beschriftung"/>
        <w:jc w:val="left"/>
      </w:pPr>
    </w:p>
    <w:p w:rsidR="00816907" w:rsidRDefault="00816907" w:rsidP="00816907">
      <w:pPr>
        <w:pStyle w:val="Beschriftung"/>
        <w:jc w:val="left"/>
      </w:pPr>
    </w:p>
    <w:p w:rsidR="00816907" w:rsidRDefault="00816907" w:rsidP="00816907">
      <w:pPr>
        <w:pStyle w:val="Beschriftung"/>
        <w:jc w:val="left"/>
      </w:pPr>
    </w:p>
    <w:p w:rsidR="00816907" w:rsidRDefault="00816907" w:rsidP="00816907">
      <w:pPr>
        <w:pStyle w:val="Beschriftung"/>
        <w:jc w:val="left"/>
      </w:pPr>
      <w:r>
        <w:t xml:space="preserve">Abb. 4-6 - </w:t>
      </w:r>
      <w:r>
        <w:rPr>
          <w:noProof/>
        </w:rPr>
        <w:t xml:space="preserve"> Vergleich Volumen und Masse von Wasser und Sand </w:t>
      </w:r>
    </w:p>
    <w:p w:rsidR="00816907" w:rsidRDefault="00816907" w:rsidP="00816907">
      <w:pPr>
        <w:tabs>
          <w:tab w:val="left" w:pos="1701"/>
          <w:tab w:val="left" w:pos="1985"/>
        </w:tabs>
        <w:ind w:left="1980" w:hanging="1980"/>
      </w:pPr>
      <w:r>
        <w:t>Deutung:</w:t>
      </w:r>
      <w:r>
        <w:tab/>
      </w:r>
      <w:r>
        <w:tab/>
        <w:t>Versuchsteil a): Gleiches Volumen bedeutet nicht automatisch gleiche Ma</w:t>
      </w:r>
      <w:r>
        <w:t>s</w:t>
      </w:r>
      <w:r>
        <w:t xml:space="preserve">se. Die visuelle Wahrnehmung reicht nicht aus, um zu sagen ob etwas gleich schwer ist oder nicht. </w:t>
      </w:r>
    </w:p>
    <w:p w:rsidR="00816907" w:rsidRDefault="00816907" w:rsidP="00816907">
      <w:pPr>
        <w:tabs>
          <w:tab w:val="left" w:pos="1701"/>
          <w:tab w:val="left" w:pos="1985"/>
        </w:tabs>
        <w:ind w:left="1980" w:hanging="1980"/>
      </w:pPr>
      <w:r>
        <w:tab/>
      </w:r>
      <w:r>
        <w:tab/>
        <w:t>Versuchsteil b): Eine Feinwaage wiegt exakter als eine normale Waage, da sie mehr Stellen nach dem Komma anzeigen kann. Man muss beim Abwi</w:t>
      </w:r>
      <w:r>
        <w:t>e</w:t>
      </w:r>
      <w:r>
        <w:t>gen sehr sorgfältig arbeiten, um genaue Ergebnisse zu erhalten.</w:t>
      </w:r>
    </w:p>
    <w:p w:rsidR="00816907" w:rsidRPr="00B20B7F" w:rsidRDefault="00816907" w:rsidP="00816907">
      <w:pPr>
        <w:tabs>
          <w:tab w:val="left" w:pos="1701"/>
          <w:tab w:val="left" w:pos="1985"/>
        </w:tabs>
        <w:ind w:left="1980" w:hanging="1980"/>
      </w:pPr>
      <w:r>
        <w:t>Entsorgung:</w:t>
      </w:r>
      <w:r>
        <w:tab/>
        <w:t xml:space="preserve">       Haushaltsmüll, Abfluss</w:t>
      </w:r>
    </w:p>
    <w:p w:rsidR="00816907" w:rsidRPr="005B60E3" w:rsidRDefault="00816907" w:rsidP="00816907">
      <w:pPr>
        <w:spacing w:line="276" w:lineRule="auto"/>
        <w:jc w:val="left"/>
        <w:rPr>
          <w:rFonts w:asciiTheme="majorHAnsi" w:eastAsiaTheme="majorEastAsia" w:hAnsiTheme="majorHAnsi" w:cstheme="majorBidi"/>
          <w:b/>
          <w:bCs/>
          <w:sz w:val="28"/>
          <w:szCs w:val="28"/>
        </w:rPr>
      </w:pPr>
      <w:r>
        <w:t>Literatur:</w:t>
      </w:r>
      <w:r>
        <w:tab/>
        <w:t xml:space="preserve">             ---</w:t>
      </w:r>
    </w:p>
    <w:p w:rsidR="00816907" w:rsidRDefault="00816907" w:rsidP="00816907">
      <w:pPr>
        <w:tabs>
          <w:tab w:val="left" w:pos="1701"/>
          <w:tab w:val="left" w:pos="1985"/>
        </w:tabs>
        <w:ind w:left="1980" w:hanging="1980"/>
      </w:pPr>
      <w:r>
        <w:pict>
          <v:shape id="_x0000_s1026" type="#_x0000_t202" style="width:462.45pt;height:146.75pt;mso-position-horizontal-relative:char;mso-position-vertical-relative:line;mso-width-relative:margin;mso-height-relative:margin" fillcolor="white [3201]" strokecolor="#c0504d [3205]" strokeweight="1pt">
            <v:stroke dashstyle="dash"/>
            <v:shadow color="#868686"/>
            <v:textbox style="mso-next-textbox:#_x0000_s1026">
              <w:txbxContent>
                <w:p w:rsidR="00816907" w:rsidRPr="009B35BC" w:rsidRDefault="00816907" w:rsidP="00816907">
                  <w:pPr>
                    <w:rPr>
                      <w:color w:val="auto"/>
                    </w:rPr>
                  </w:pPr>
                  <w:r w:rsidRPr="009B35BC">
                    <w:rPr>
                      <w:color w:val="auto"/>
                    </w:rPr>
                    <w:t>Ähnlich wie V1 kann dieser Versuch in der Unterrichtseinheit Dichte verwendet werden, er zeigt aber genauso auch die Grenzen der visuellen Wahrnehmung auf. In Verbindung mit der Mathematik kann Versuchsteil b verwendet werden</w:t>
                  </w:r>
                  <w:r>
                    <w:rPr>
                      <w:color w:val="auto"/>
                    </w:rPr>
                    <w:t>,</w:t>
                  </w:r>
                  <w:r w:rsidRPr="009B35BC">
                    <w:rPr>
                      <w:color w:val="auto"/>
                    </w:rPr>
                    <w:t xml:space="preserve"> um die Bedeutung von Nachkommastellen zu verdeutlichen. Die Entsorgung ist wie bei </w:t>
                  </w:r>
                  <w:proofErr w:type="gramStart"/>
                  <w:r w:rsidRPr="009B35BC">
                    <w:rPr>
                      <w:color w:val="auto"/>
                    </w:rPr>
                    <w:t>den</w:t>
                  </w:r>
                  <w:proofErr w:type="gramEnd"/>
                  <w:r w:rsidRPr="009B35BC">
                    <w:rPr>
                      <w:color w:val="auto"/>
                    </w:rPr>
                    <w:t xml:space="preserve"> vorangegangen Versuchen über den Hausmüll bzw. den Abfluss möglich und es werden wieder nur Haushaltschemikalien verwendet, was den Versuch kostengünstig und gefahrenfrei macht. Wasser, Sand und Zucker können hierbei natürlich beliebig durch andere Stoffe ersetzt werden, die den gleichen Effekt haben.  </w:t>
                  </w:r>
                </w:p>
              </w:txbxContent>
            </v:textbox>
            <w10:wrap type="none"/>
            <w10:anchorlock/>
          </v:shape>
        </w:pict>
      </w:r>
    </w:p>
    <w:p w:rsidR="00F069C6" w:rsidRDefault="00F069C6" w:rsidP="00816907"/>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6907"/>
    <w:rsid w:val="00330BEC"/>
    <w:rsid w:val="003B5335"/>
    <w:rsid w:val="00816907"/>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690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1690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1690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1690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1690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1690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1690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1690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1690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1690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690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1690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1690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1690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1690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1690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1690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690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690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16907"/>
    <w:pPr>
      <w:spacing w:line="240" w:lineRule="auto"/>
    </w:pPr>
    <w:rPr>
      <w:bCs/>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1466</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2014-08-26T18:09:00Z</dcterms:created>
  <dcterms:modified xsi:type="dcterms:W3CDTF">2014-08-26T18:17:00Z</dcterms:modified>
</cp:coreProperties>
</file>