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A0" w:rsidRDefault="00D830A0" w:rsidP="00D830A0">
      <w:pPr>
        <w:pStyle w:val="berschrift2"/>
      </w:pPr>
      <w:bookmarkStart w:id="0" w:name="_Toc395461290"/>
      <w:r>
        <w:t xml:space="preserve">V 1 – Brummender </w:t>
      </w:r>
      <w:proofErr w:type="spellStart"/>
      <w:r>
        <w:t>Gummibär</w:t>
      </w:r>
      <w:bookmarkEnd w:id="0"/>
      <w:proofErr w:type="spellEnd"/>
    </w:p>
    <w:p w:rsidR="00D830A0" w:rsidRDefault="00D830A0" w:rsidP="00D830A0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75pt;margin-top:11.4pt;width:462.45pt;height:80.2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D830A0" w:rsidRPr="00070345" w:rsidRDefault="00D830A0" w:rsidP="00D830A0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In diesem Versuch wird ein </w:t>
                  </w:r>
                  <w:proofErr w:type="spellStart"/>
                  <w:r>
                    <w:rPr>
                      <w:color w:val="auto"/>
                    </w:rPr>
                    <w:t>Gummibär</w:t>
                  </w:r>
                  <w:proofErr w:type="spellEnd"/>
                  <w:r>
                    <w:rPr>
                      <w:color w:val="auto"/>
                    </w:rPr>
                    <w:t xml:space="preserve"> verbrannt, wobei dies mit lauten Geräuschen und leuc</w:t>
                  </w:r>
                  <w:r>
                    <w:rPr>
                      <w:color w:val="auto"/>
                    </w:rPr>
                    <w:t>h</w:t>
                  </w:r>
                  <w:r>
                    <w:rPr>
                      <w:color w:val="auto"/>
                    </w:rPr>
                    <w:t xml:space="preserve">tenden Effekten verbunden ist. Er zeigt eindrucksvoll eine exotherme Reaktion. Es wird kein Vorwissen für den Versuch benötigt. Dieser Versuch darf nur von Lehrpersonen durchgeführt werden, da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nicht mit Kaliumchlorat arbeiten dürfen.</w:t>
                  </w: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830A0" w:rsidRPr="009C5E28" w:rsidTr="00663CA7">
        <w:tc>
          <w:tcPr>
            <w:tcW w:w="9322" w:type="dxa"/>
            <w:gridSpan w:val="9"/>
            <w:shd w:val="clear" w:color="auto" w:fill="4F81BD"/>
            <w:vAlign w:val="center"/>
          </w:tcPr>
          <w:p w:rsidR="00D830A0" w:rsidRPr="009C5E28" w:rsidRDefault="00D830A0" w:rsidP="00663CA7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D830A0" w:rsidRPr="009C5E28" w:rsidTr="00663CA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30A0" w:rsidRPr="009C5E28" w:rsidRDefault="00D830A0" w:rsidP="00663CA7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Kaliumchlorat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30A0" w:rsidRPr="009C5E28" w:rsidRDefault="00D830A0" w:rsidP="00663CA7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271</w:t>
            </w:r>
            <w:r w:rsidRPr="009C5E28">
              <w:rPr>
                <w:sz w:val="20"/>
              </w:rPr>
              <w:t>-</w:t>
            </w:r>
            <w:hyperlink r:id="rId5" w:anchor="H-S.C3.A4tze" w:tooltip="H- und P-Sätze" w:history="1">
              <w:r>
                <w:rPr>
                  <w:rStyle w:val="Hyperlink"/>
                  <w:color w:val="auto"/>
                  <w:sz w:val="20"/>
                </w:rPr>
                <w:t>33</w:t>
              </w:r>
              <w:r w:rsidRPr="009C5E28">
                <w:rPr>
                  <w:rStyle w:val="Hyperlink"/>
                  <w:color w:val="auto"/>
                  <w:sz w:val="20"/>
                </w:rPr>
                <w:t>2</w:t>
              </w:r>
            </w:hyperlink>
            <w:r w:rsidRPr="009C5E28">
              <w:rPr>
                <w:sz w:val="20"/>
              </w:rPr>
              <w:t>-</w:t>
            </w:r>
            <w:r>
              <w:t>302-411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830A0" w:rsidRPr="009C5E28" w:rsidRDefault="00D830A0" w:rsidP="00663CA7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210</w:t>
            </w:r>
            <w:r w:rsidRPr="009C5E28">
              <w:rPr>
                <w:sz w:val="20"/>
              </w:rPr>
              <w:t>-</w:t>
            </w:r>
            <w:r>
              <w:rPr>
                <w:rFonts w:ascii="Cambria Math" w:hAnsi="Cambria Math" w:cs="Cambria Math"/>
                <w:sz w:val="20"/>
              </w:rPr>
              <w:t>221-273</w:t>
            </w:r>
          </w:p>
        </w:tc>
      </w:tr>
      <w:tr w:rsidR="00D830A0" w:rsidRPr="009C5E28" w:rsidTr="00663CA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30A0" w:rsidRPr="009C5E28" w:rsidRDefault="00D830A0" w:rsidP="00663CA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2" name="Grafik 21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30A0" w:rsidRPr="009C5E28" w:rsidRDefault="00D830A0" w:rsidP="00663CA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23" name="Grafik 22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30A0" w:rsidRPr="009C5E28" w:rsidRDefault="00D830A0" w:rsidP="00663CA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30A0" w:rsidRPr="009C5E28" w:rsidRDefault="00D830A0" w:rsidP="00663CA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30A0" w:rsidRPr="009C5E28" w:rsidRDefault="00D830A0" w:rsidP="00663CA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30A0" w:rsidRPr="009C5E28" w:rsidRDefault="00D830A0" w:rsidP="00663CA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30A0" w:rsidRPr="009C5E28" w:rsidRDefault="00D830A0" w:rsidP="00663CA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30A0" w:rsidRPr="009C5E28" w:rsidRDefault="00D830A0" w:rsidP="00663CA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830A0" w:rsidRPr="009C5E28" w:rsidRDefault="00D830A0" w:rsidP="00663CA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19050" t="0" r="7620" b="0"/>
                  <wp:docPr id="24" name="Grafik 23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0A0" w:rsidRDefault="00D830A0" w:rsidP="00D830A0">
      <w:pPr>
        <w:tabs>
          <w:tab w:val="left" w:pos="1701"/>
          <w:tab w:val="left" w:pos="1985"/>
        </w:tabs>
        <w:ind w:left="1980" w:hanging="1980"/>
      </w:pPr>
    </w:p>
    <w:p w:rsidR="00D830A0" w:rsidRDefault="00D830A0" w:rsidP="00D830A0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Stativ, Stativklammer, Muffe, Bunsenbrenner, großes Reagenzglas</w:t>
      </w:r>
    </w:p>
    <w:p w:rsidR="00D830A0" w:rsidRPr="00ED07C2" w:rsidRDefault="00D830A0" w:rsidP="00D830A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Kaliumchlorat, ein Gummibärchen</w:t>
      </w:r>
    </w:p>
    <w:p w:rsidR="00D830A0" w:rsidRDefault="00D830A0" w:rsidP="00D830A0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Ungefähr 10g Kaliumchlorat werden in das Reagenzglas gefüllt und mit dem Bunsenbrenner erhitzt, bis es komplett flüssig ist. Dann wird ein ei</w:t>
      </w:r>
      <w:r>
        <w:t>n</w:t>
      </w:r>
      <w:r>
        <w:t>zelnes Gummibärchen in das Reagenzglas dazugegeben.</w:t>
      </w:r>
    </w:p>
    <w:p w:rsidR="00D830A0" w:rsidRDefault="00D830A0" w:rsidP="00D830A0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Es kommt sofort zu einer heftigen Reaktion. Ein brummendes Geräusch ist zu hören und es leuchtet rot im Reagenzglas. Eine starke Gasentwicklung ist zu beobachten.</w:t>
      </w:r>
    </w:p>
    <w:p w:rsidR="00D830A0" w:rsidRDefault="00D830A0" w:rsidP="00D830A0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3552015" cy="2449901"/>
            <wp:effectExtent l="19050" t="0" r="0" b="0"/>
            <wp:docPr id="55" name="Bild 3" descr="C:\Dokumente und Einstellungen\Praxis Dr.Kellner\Eigene Dateien\SVP\BilderSVP\DSCF7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kumente und Einstellungen\Praxis Dr.Kellner\Eigene Dateien\SVP\BilderSVP\DSCF769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016" cy="244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0A0" w:rsidRDefault="00D830A0" w:rsidP="00D830A0">
      <w:pPr>
        <w:pStyle w:val="Beschriftung"/>
        <w:jc w:val="left"/>
      </w:pPr>
      <w:r>
        <w:t xml:space="preserve">Abb. </w:t>
      </w:r>
      <w:fldSimple w:instr=" SEQ Abb. \* ARABIC ">
        <w:r>
          <w:rPr>
            <w:noProof/>
          </w:rPr>
          <w:t>1</w:t>
        </w:r>
      </w:fldSimple>
      <w:r>
        <w:t xml:space="preserve"> – </w:t>
      </w:r>
      <w:r>
        <w:rPr>
          <w:noProof/>
        </w:rPr>
        <w:t>Verbrennung des Gummibärchens</w:t>
      </w:r>
    </w:p>
    <w:p w:rsidR="00D830A0" w:rsidRDefault="00D830A0" w:rsidP="00D830A0">
      <w:pPr>
        <w:tabs>
          <w:tab w:val="left" w:pos="1701"/>
          <w:tab w:val="left" w:pos="1985"/>
        </w:tabs>
        <w:ind w:left="1980" w:hanging="1980"/>
      </w:pPr>
      <w:r>
        <w:lastRenderedPageBreak/>
        <w:t>Deutung:</w:t>
      </w:r>
      <w:r>
        <w:tab/>
      </w:r>
      <w:r>
        <w:tab/>
      </w:r>
      <w:r>
        <w:tab/>
        <w:t>Es findet eine stark exotherme Reaktion statt.</w:t>
      </w:r>
    </w:p>
    <w:p w:rsidR="00D830A0" w:rsidRDefault="00D830A0" w:rsidP="00D830A0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(2 KCl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 xml:space="preserve">3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d>
            </m:sub>
          </m:sSub>
          <m:r>
            <w:rPr>
              <w:rFonts w:ascii="Cambria Math" w:hAnsi="Cambria Math"/>
            </w:rPr>
            <m:t xml:space="preserve">+ 3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sub>
          </m:sSub>
          <m:r>
            <w:rPr>
              <w:rFonts w:ascii="Cambria Math" w:hAnsi="Cambria Math"/>
            </w:rPr>
            <m:t xml:space="preserve"> →2 K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Cl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sub>
          </m:sSub>
          <m:r>
            <w:rPr>
              <w:rFonts w:ascii="Cambria Math" w:hAnsi="Cambria Math"/>
            </w:rPr>
            <m:t>+ 3 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 xml:space="preserve">2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</m:sub>
          </m:sSub>
          <m:r>
            <w:rPr>
              <w:rFonts w:ascii="Cambria Math" w:hAnsi="Cambria Math"/>
            </w:rPr>
            <m:t xml:space="preserve"> )</m:t>
          </m:r>
        </m:oMath>
      </m:oMathPara>
    </w:p>
    <w:p w:rsidR="00D830A0" w:rsidRDefault="00D830A0" w:rsidP="00D830A0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</w:r>
      <w:proofErr w:type="spellStart"/>
      <w:r>
        <w:t>Stark</w:t>
      </w:r>
      <w:proofErr w:type="spellEnd"/>
      <w:r>
        <w:t xml:space="preserve"> verdünnt über das Abwasser.</w:t>
      </w:r>
    </w:p>
    <w:p w:rsidR="00D830A0" w:rsidRPr="005B60E3" w:rsidRDefault="00D830A0" w:rsidP="00D830A0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>
        <w:tab/>
        <w:t xml:space="preserve">[1] H. Schmidkunz, Chemische Freihandversuche Band 1, </w:t>
      </w:r>
      <w:proofErr w:type="spellStart"/>
      <w:r>
        <w:t>Aulis</w:t>
      </w:r>
      <w:proofErr w:type="spellEnd"/>
      <w:r>
        <w:t xml:space="preserve">, 2011, S. </w:t>
      </w:r>
    </w:p>
    <w:p w:rsidR="00D830A0" w:rsidRDefault="00D830A0" w:rsidP="00D830A0">
      <w:pPr>
        <w:tabs>
          <w:tab w:val="left" w:pos="2174"/>
        </w:tabs>
      </w:pPr>
      <w:r>
        <w:tab/>
        <w:t>67.</w:t>
      </w:r>
    </w:p>
    <w:p w:rsidR="00D830A0" w:rsidRPr="006E32AF" w:rsidRDefault="00D830A0" w:rsidP="00D830A0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C12920">
        <w:pict>
          <v:shape id="_x0000_s1026" type="#_x0000_t202" style="width:462.45pt;height:96.4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D830A0" w:rsidRPr="00F76F10" w:rsidRDefault="00D830A0" w:rsidP="00D830A0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Bei der Deutung reicht eine Formulierung wie „es wird Energie frei“ aus, da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den Begriff exotherm noch nicht kennen. Auch auf die Formulierung der Reaktionsgleichung muss an di</w:t>
                  </w:r>
                  <w:r>
                    <w:rPr>
                      <w:color w:val="auto"/>
                    </w:rPr>
                    <w:t>e</w:t>
                  </w:r>
                  <w:r>
                    <w:rPr>
                      <w:color w:val="auto"/>
                    </w:rPr>
                    <w:t>ser Stelle verzichtet werden. Dieser Versuch kann auch in der Unterrichtseinheit exotherm/ endotherm verwendet werden. Alternativ könnte der Versuch mit Kaliumnitrat durchgeführt werden.</w:t>
                  </w:r>
                </w:p>
              </w:txbxContent>
            </v:textbox>
            <w10:wrap type="none"/>
            <w10:anchorlock/>
          </v:shape>
        </w:pict>
      </w:r>
    </w:p>
    <w:p w:rsidR="00546B27" w:rsidRDefault="00546B27"/>
    <w:sectPr w:rsidR="00546B27" w:rsidSect="00546B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830A0"/>
    <w:rsid w:val="00546B27"/>
    <w:rsid w:val="00C33F2B"/>
    <w:rsid w:val="00D8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30A0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30A0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830A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30A0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30A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30A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30A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30A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30A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30A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30A0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30A0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30A0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30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30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30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30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30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30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830A0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830A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0A0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de.wikipedia.org/wiki/H-_und_P-S%C3%A4tze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 Dr.Kellner</dc:creator>
  <cp:keywords/>
  <dc:description/>
  <cp:lastModifiedBy>Praxis Dr.Kellner</cp:lastModifiedBy>
  <cp:revision>1</cp:revision>
  <dcterms:created xsi:type="dcterms:W3CDTF">2014-08-27T15:13:00Z</dcterms:created>
  <dcterms:modified xsi:type="dcterms:W3CDTF">2014-08-27T15:15:00Z</dcterms:modified>
</cp:coreProperties>
</file>