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77" w:rsidRDefault="00D32E77" w:rsidP="00D32E77">
      <w:pPr>
        <w:tabs>
          <w:tab w:val="left" w:pos="1701"/>
          <w:tab w:val="left" w:pos="1985"/>
        </w:tabs>
        <w:rPr>
          <w:b/>
          <w:sz w:val="28"/>
        </w:rPr>
      </w:pPr>
      <w:r>
        <w:rPr>
          <w:b/>
          <w:sz w:val="28"/>
        </w:rPr>
        <w:t xml:space="preserve">Arbeitsblatt – Sublimation und Resublimation </w:t>
      </w:r>
      <w:r w:rsidR="009518A8">
        <w:rPr>
          <w:b/>
          <w:sz w:val="28"/>
        </w:rPr>
        <w:t>v</w:t>
      </w:r>
      <w:r>
        <w:rPr>
          <w:b/>
          <w:sz w:val="28"/>
        </w:rPr>
        <w:t>on Iod</w:t>
      </w:r>
    </w:p>
    <w:p w:rsidR="00D32E77" w:rsidRPr="001356DF" w:rsidRDefault="00D32E77" w:rsidP="00D32E77">
      <w:pPr>
        <w:pStyle w:val="Listenabsatz"/>
        <w:numPr>
          <w:ilvl w:val="0"/>
          <w:numId w:val="2"/>
        </w:numPr>
        <w:tabs>
          <w:tab w:val="left" w:pos="1701"/>
          <w:tab w:val="left" w:pos="1985"/>
        </w:tabs>
        <w:rPr>
          <w:rFonts w:asciiTheme="majorHAnsi" w:hAnsiTheme="majorHAnsi"/>
          <w:b/>
        </w:rPr>
      </w:pPr>
      <w:r>
        <w:rPr>
          <w:rFonts w:asciiTheme="majorHAnsi" w:hAnsiTheme="majorHAnsi"/>
          <w:b/>
        </w:rPr>
        <w:t>Beschreibe die Versuchsdurchführung und fertige eine Skizze dazu an</w:t>
      </w:r>
      <w:r w:rsidRPr="00324AD9">
        <w:rPr>
          <w:rFonts w:asciiTheme="majorHAnsi" w:hAnsiTheme="majorHAnsi"/>
          <w:b/>
        </w:rPr>
        <w:t>.</w:t>
      </w:r>
    </w:p>
    <w:p w:rsidR="00D32E77" w:rsidRPr="00907E72" w:rsidRDefault="00D32E77" w:rsidP="00D32E77">
      <w:pPr>
        <w:tabs>
          <w:tab w:val="left" w:pos="1701"/>
          <w:tab w:val="left" w:pos="1985"/>
        </w:tabs>
        <w:ind w:left="1980" w:hanging="1980"/>
      </w:pPr>
      <w:r w:rsidRPr="00907E72">
        <w:rPr>
          <w:u w:val="single"/>
        </w:rPr>
        <w:t xml:space="preserve">Materialien: </w:t>
      </w:r>
      <w:r w:rsidRPr="00907E72">
        <w:t>Erlenmeyerkolben, Uhrglas, Gasbrenner, Dreifuss mit Drahtnetz</w:t>
      </w:r>
    </w:p>
    <w:p w:rsidR="00D32E77" w:rsidRPr="00907E72" w:rsidRDefault="00D32E77" w:rsidP="00D32E77">
      <w:pPr>
        <w:tabs>
          <w:tab w:val="left" w:pos="1701"/>
          <w:tab w:val="left" w:pos="1985"/>
        </w:tabs>
        <w:ind w:left="1980" w:hanging="1980"/>
      </w:pPr>
      <w:r w:rsidRPr="00907E72">
        <w:rPr>
          <w:u w:val="single"/>
        </w:rPr>
        <w:t>Chemikalien:</w:t>
      </w:r>
      <w:r w:rsidRPr="00907E72">
        <w:t xml:space="preserve"> Iod, Eis</w:t>
      </w:r>
    </w:p>
    <w:p w:rsidR="00D32E77" w:rsidRPr="00907E72" w:rsidRDefault="008E32F7" w:rsidP="00D32E77">
      <w:pPr>
        <w:tabs>
          <w:tab w:val="left" w:pos="1701"/>
          <w:tab w:val="left" w:pos="1985"/>
        </w:tabs>
        <w:spacing w:after="0"/>
        <w:ind w:left="1980" w:hanging="1980"/>
        <w:rPr>
          <w:rFonts w:asciiTheme="majorHAnsi" w:hAnsiTheme="majorHAnsi"/>
          <w:b/>
          <w:u w:val="single"/>
        </w:rPr>
      </w:pPr>
      <w:r w:rsidRPr="008E32F7">
        <w:rPr>
          <w:noProof/>
          <w:u w:val="single"/>
          <w:lang w:eastAsia="de-DE"/>
        </w:rPr>
        <w:pict>
          <v:rect id="_x0000_s1026" style="position:absolute;left:0;text-align:left;margin-left:44.65pt;margin-top:5.55pt;width:226.15pt;height:175.25pt;z-index:251660288" strokeweight="1.5pt"/>
        </w:pict>
      </w:r>
      <w:r w:rsidR="00D32E77" w:rsidRPr="00907E72">
        <w:rPr>
          <w:rFonts w:asciiTheme="majorHAnsi" w:hAnsiTheme="majorHAnsi"/>
          <w:u w:val="single"/>
        </w:rPr>
        <w:t>Skizze</w:t>
      </w:r>
      <w:r w:rsidR="00D32E77" w:rsidRPr="00907E72">
        <w:rPr>
          <w:rFonts w:asciiTheme="majorHAnsi" w:hAnsiTheme="majorHAnsi"/>
          <w:b/>
          <w:u w:val="single"/>
        </w:rPr>
        <w:t>:</w:t>
      </w: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Default="00D32E77" w:rsidP="00D32E77">
      <w:pPr>
        <w:tabs>
          <w:tab w:val="left" w:pos="1701"/>
          <w:tab w:val="left" w:pos="1985"/>
        </w:tabs>
        <w:spacing w:after="0"/>
        <w:ind w:left="1980" w:hanging="1980"/>
        <w:rPr>
          <w:rFonts w:asciiTheme="majorHAnsi" w:hAnsiTheme="majorHAnsi"/>
          <w:b/>
        </w:rPr>
      </w:pPr>
    </w:p>
    <w:p w:rsidR="00D32E77" w:rsidRPr="00CB10F0" w:rsidRDefault="00D32E77" w:rsidP="00D32E77">
      <w:pPr>
        <w:tabs>
          <w:tab w:val="left" w:pos="1701"/>
          <w:tab w:val="left" w:pos="1985"/>
        </w:tabs>
        <w:spacing w:after="0"/>
        <w:ind w:left="1980" w:hanging="1980"/>
        <w:rPr>
          <w:rFonts w:asciiTheme="majorHAnsi" w:hAnsiTheme="majorHAnsi"/>
          <w:b/>
        </w:rPr>
      </w:pPr>
    </w:p>
    <w:p w:rsidR="00D32E77" w:rsidRPr="00907E72" w:rsidRDefault="00D32E77" w:rsidP="00D32E77">
      <w:pPr>
        <w:tabs>
          <w:tab w:val="left" w:pos="1701"/>
          <w:tab w:val="left" w:pos="1985"/>
        </w:tabs>
        <w:spacing w:after="0"/>
        <w:ind w:left="1980" w:hanging="1980"/>
        <w:rPr>
          <w:u w:val="single"/>
        </w:rPr>
      </w:pPr>
      <w:r w:rsidRPr="00907E72">
        <w:rPr>
          <w:u w:val="single"/>
        </w:rPr>
        <w:t xml:space="preserve">Durchführung: </w:t>
      </w:r>
    </w:p>
    <w:p w:rsidR="00D32E77" w:rsidRPr="00324AD9" w:rsidRDefault="00D32E77" w:rsidP="00D32E77">
      <w:pPr>
        <w:tabs>
          <w:tab w:val="left" w:pos="1701"/>
          <w:tab w:val="left" w:pos="1985"/>
        </w:tabs>
        <w:spacing w:after="0"/>
        <w:ind w:left="1980" w:hanging="1980"/>
        <w:rPr>
          <w:u w:val="single"/>
        </w:rPr>
      </w:pPr>
    </w:p>
    <w:tbl>
      <w:tblPr>
        <w:tblStyle w:val="Tabellengitternetz"/>
        <w:tblW w:w="0" w:type="auto"/>
        <w:tblInd w:w="108" w:type="dxa"/>
        <w:tblBorders>
          <w:left w:val="none" w:sz="0" w:space="0" w:color="auto"/>
          <w:right w:val="none" w:sz="0" w:space="0" w:color="auto"/>
        </w:tblBorders>
        <w:tblLook w:val="04A0"/>
      </w:tblPr>
      <w:tblGrid>
        <w:gridCol w:w="9180"/>
      </w:tblGrid>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bl>
    <w:p w:rsidR="00D32E77" w:rsidRPr="001356DF" w:rsidRDefault="00D32E77" w:rsidP="00D32E77">
      <w:pPr>
        <w:tabs>
          <w:tab w:val="left" w:pos="1701"/>
          <w:tab w:val="left" w:pos="1985"/>
        </w:tabs>
        <w:spacing w:after="0"/>
        <w:rPr>
          <w:rFonts w:asciiTheme="majorHAnsi" w:hAnsiTheme="majorHAnsi"/>
          <w:b/>
        </w:rPr>
      </w:pPr>
    </w:p>
    <w:p w:rsidR="00D32E77" w:rsidRDefault="00D32E77" w:rsidP="00D32E77">
      <w:pPr>
        <w:pStyle w:val="Listenabsatz"/>
        <w:tabs>
          <w:tab w:val="left" w:pos="1701"/>
          <w:tab w:val="left" w:pos="1985"/>
        </w:tabs>
        <w:spacing w:after="0"/>
        <w:ind w:left="360"/>
        <w:rPr>
          <w:rFonts w:asciiTheme="majorHAnsi" w:hAnsiTheme="majorHAnsi"/>
          <w:b/>
        </w:rPr>
      </w:pPr>
    </w:p>
    <w:p w:rsidR="00D32E77" w:rsidRDefault="00D32E77" w:rsidP="00D32E77">
      <w:pPr>
        <w:pStyle w:val="Listenabsatz"/>
        <w:numPr>
          <w:ilvl w:val="0"/>
          <w:numId w:val="2"/>
        </w:numPr>
        <w:tabs>
          <w:tab w:val="left" w:pos="1701"/>
          <w:tab w:val="left" w:pos="1985"/>
        </w:tabs>
        <w:spacing w:after="0"/>
        <w:rPr>
          <w:rFonts w:asciiTheme="majorHAnsi" w:hAnsiTheme="majorHAnsi"/>
          <w:b/>
        </w:rPr>
      </w:pPr>
      <w:r>
        <w:rPr>
          <w:rFonts w:asciiTheme="majorHAnsi" w:hAnsiTheme="majorHAnsi"/>
          <w:b/>
        </w:rPr>
        <w:t>Dokumentiere deine Beobachtung!</w:t>
      </w:r>
    </w:p>
    <w:p w:rsidR="00D32E77" w:rsidRPr="001356DF" w:rsidRDefault="00D32E77" w:rsidP="00D32E77">
      <w:pPr>
        <w:tabs>
          <w:tab w:val="left" w:pos="1701"/>
          <w:tab w:val="left" w:pos="1985"/>
        </w:tabs>
        <w:spacing w:after="0"/>
        <w:rPr>
          <w:rFonts w:asciiTheme="majorHAnsi" w:hAnsiTheme="majorHAnsi"/>
          <w:b/>
        </w:rPr>
      </w:pPr>
    </w:p>
    <w:tbl>
      <w:tblPr>
        <w:tblStyle w:val="Tabellengitternetz"/>
        <w:tblW w:w="0" w:type="auto"/>
        <w:tblInd w:w="108" w:type="dxa"/>
        <w:tblBorders>
          <w:left w:val="none" w:sz="0" w:space="0" w:color="auto"/>
          <w:right w:val="none" w:sz="0" w:space="0" w:color="auto"/>
        </w:tblBorders>
        <w:tblLook w:val="04A0"/>
      </w:tblPr>
      <w:tblGrid>
        <w:gridCol w:w="9180"/>
      </w:tblGrid>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bl>
    <w:p w:rsidR="00D32E77" w:rsidRPr="00DA62D8" w:rsidRDefault="00D32E77" w:rsidP="00D32E77">
      <w:pPr>
        <w:tabs>
          <w:tab w:val="left" w:pos="1701"/>
          <w:tab w:val="left" w:pos="1985"/>
        </w:tabs>
        <w:ind w:left="1980" w:hanging="1980"/>
        <w:rPr>
          <w:b/>
        </w:rPr>
      </w:pPr>
    </w:p>
    <w:p w:rsidR="00D32E77" w:rsidRPr="00324AD9" w:rsidRDefault="00D32E77" w:rsidP="00D32E77">
      <w:pPr>
        <w:pStyle w:val="Listenabsatz"/>
        <w:numPr>
          <w:ilvl w:val="0"/>
          <w:numId w:val="2"/>
        </w:numPr>
        <w:tabs>
          <w:tab w:val="left" w:pos="1701"/>
          <w:tab w:val="left" w:pos="1985"/>
        </w:tabs>
        <w:rPr>
          <w:b/>
        </w:rPr>
      </w:pPr>
      <w:r w:rsidRPr="00324AD9">
        <w:rPr>
          <w:rFonts w:asciiTheme="majorHAnsi" w:hAnsiTheme="majorHAnsi"/>
          <w:b/>
        </w:rPr>
        <w:t>Deute den Versuch indem du folgende Begriffe verwendest:</w:t>
      </w:r>
    </w:p>
    <w:p w:rsidR="00D32E77" w:rsidRPr="00324AD9" w:rsidRDefault="00D32E77" w:rsidP="00D32E77">
      <w:pPr>
        <w:pStyle w:val="Listenabsatz"/>
        <w:tabs>
          <w:tab w:val="left" w:pos="1701"/>
          <w:tab w:val="left" w:pos="1985"/>
        </w:tabs>
        <w:ind w:left="360"/>
        <w:rPr>
          <w:b/>
          <w:i/>
        </w:rPr>
      </w:pPr>
      <w:r>
        <w:rPr>
          <w:rFonts w:asciiTheme="majorHAnsi" w:hAnsiTheme="majorHAnsi"/>
          <w:b/>
          <w:i/>
        </w:rPr>
        <w:t>resublimieren/Resublimation</w:t>
      </w:r>
      <w:r w:rsidRPr="00324AD9">
        <w:rPr>
          <w:rFonts w:asciiTheme="majorHAnsi" w:hAnsiTheme="majorHAnsi"/>
          <w:b/>
          <w:i/>
        </w:rPr>
        <w:t xml:space="preserve"> – fest – verdampfen – </w:t>
      </w:r>
      <w:r>
        <w:rPr>
          <w:rFonts w:asciiTheme="majorHAnsi" w:hAnsiTheme="majorHAnsi"/>
          <w:b/>
          <w:i/>
        </w:rPr>
        <w:t>sublimieren/Sublimation</w:t>
      </w:r>
      <w:r w:rsidRPr="00324AD9">
        <w:rPr>
          <w:rFonts w:asciiTheme="majorHAnsi" w:hAnsiTheme="majorHAnsi"/>
          <w:b/>
          <w:i/>
        </w:rPr>
        <w:t xml:space="preserve"> – gasförmig </w:t>
      </w:r>
    </w:p>
    <w:tbl>
      <w:tblPr>
        <w:tblStyle w:val="Tabellengitternetz"/>
        <w:tblW w:w="0" w:type="auto"/>
        <w:tblInd w:w="108" w:type="dxa"/>
        <w:tblBorders>
          <w:left w:val="none" w:sz="0" w:space="0" w:color="auto"/>
          <w:right w:val="none" w:sz="0" w:space="0" w:color="auto"/>
        </w:tblBorders>
        <w:tblLook w:val="04A0"/>
      </w:tblPr>
      <w:tblGrid>
        <w:gridCol w:w="9180"/>
      </w:tblGrid>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r w:rsidR="00D32E77" w:rsidTr="00D17461">
        <w:tc>
          <w:tcPr>
            <w:tcW w:w="9180" w:type="dxa"/>
            <w:tcBorders>
              <w:top w:val="single" w:sz="12" w:space="0" w:color="auto"/>
              <w:bottom w:val="single" w:sz="12" w:space="0" w:color="auto"/>
            </w:tcBorders>
          </w:tcPr>
          <w:p w:rsidR="00D32E77" w:rsidRDefault="00D32E77" w:rsidP="00D17461">
            <w:pPr>
              <w:tabs>
                <w:tab w:val="left" w:pos="1701"/>
                <w:tab w:val="left" w:pos="1985"/>
              </w:tabs>
              <w:rPr>
                <w:b/>
              </w:rPr>
            </w:pPr>
          </w:p>
        </w:tc>
      </w:tr>
    </w:tbl>
    <w:p w:rsidR="00D32E77" w:rsidRPr="005240FE" w:rsidRDefault="00D32E77" w:rsidP="00D32E77">
      <w:pPr>
        <w:sectPr w:rsidR="00D32E77" w:rsidRPr="005240FE" w:rsidSect="0049087A">
          <w:headerReference w:type="default" r:id="rId7"/>
          <w:pgSz w:w="11906" w:h="16838"/>
          <w:pgMar w:top="1417" w:right="1417" w:bottom="709" w:left="1417" w:header="708" w:footer="708" w:gutter="0"/>
          <w:pgNumType w:start="0"/>
          <w:cols w:space="708"/>
          <w:docGrid w:linePitch="360"/>
        </w:sectPr>
      </w:pPr>
    </w:p>
    <w:p w:rsidR="00D32E77" w:rsidRDefault="00D32E77" w:rsidP="00D32E77">
      <w:pPr>
        <w:pStyle w:val="berschrift1"/>
      </w:pPr>
      <w:bookmarkStart w:id="0" w:name="_Toc396038164"/>
      <w:r>
        <w:lastRenderedPageBreak/>
        <w:t>Reflexion des Arbeitsblattes</w:t>
      </w:r>
      <w:bookmarkEnd w:id="0"/>
    </w:p>
    <w:p w:rsidR="00D32E77" w:rsidRPr="00225A9E" w:rsidRDefault="00D32E77" w:rsidP="00D32E77">
      <w:pPr>
        <w:rPr>
          <w:color w:val="auto"/>
        </w:rPr>
      </w:pPr>
      <w:r w:rsidRPr="00225A9E">
        <w:rPr>
          <w:color w:val="auto"/>
        </w:rPr>
        <w:t>In dem Arbeitsblatt geht es darum, die SuS in ihren Beobachtungsfertigkeiten zu schulen und zu üben, Versuchsprotokolle zu erstellen. Fachlich sollen die Begriffe Sublimation und Resublimation anhand des Beispiels Iod eingeführt werden. Folglich kann es in einer Unterrichtseinheit zum Thema Aggregatzustände eingesetzt werden, nachdem die „einfachen“ Übergänge und Zustände bereits eingeführt wurden.</w:t>
      </w:r>
    </w:p>
    <w:p w:rsidR="00D32E77" w:rsidRDefault="00D32E77" w:rsidP="00D32E77">
      <w:pPr>
        <w:pStyle w:val="berschrift2"/>
      </w:pPr>
      <w:bookmarkStart w:id="1" w:name="_Toc396038165"/>
      <w:r>
        <w:t>Erwartungshorizont (Kerncurriculum)</w:t>
      </w:r>
      <w:bookmarkEnd w:id="1"/>
    </w:p>
    <w:p w:rsidR="00D32E77" w:rsidRPr="00225A9E" w:rsidRDefault="00D32E77" w:rsidP="00D32E77">
      <w:r>
        <w:t xml:space="preserve">Die SuS sollen befähigt werden, chemische Vorgänge sorgfältig zu beobachten und zu protokollieren, was durch Aufgabes 1 mit  Anforderungsniveau I und Aufgabe 2 mit Anforderungsniveau II gewährleistet wird. Durch anschließendes Präsentieren ihrer Ergebnisse sollen die SuS zudem in ihrer Kommunikationskompetenz geschult werden (s. Basiskonzept Stoff-Teilchen, 5. und 6. Klassenstufe). Anhand ihres Vorwissens sollen die SuS in Aufgabe 3 mit Anforderungsniveau III in der Lage sein den Versuch zu deuten und dabei die Begriffe </w:t>
      </w:r>
      <w:r w:rsidRPr="000360CB">
        <w:rPr>
          <w:i/>
        </w:rPr>
        <w:t>sublimiere</w:t>
      </w:r>
      <w:r>
        <w:rPr>
          <w:i/>
        </w:rPr>
        <w:t>n/Sublimation</w:t>
      </w:r>
      <w:r w:rsidRPr="000360CB">
        <w:rPr>
          <w:i/>
        </w:rPr>
        <w:t xml:space="preserve"> </w:t>
      </w:r>
      <w:r w:rsidRPr="000360CB">
        <w:t xml:space="preserve">und </w:t>
      </w:r>
      <w:r w:rsidRPr="000360CB">
        <w:rPr>
          <w:i/>
        </w:rPr>
        <w:t>resublimieren</w:t>
      </w:r>
      <w:r>
        <w:rPr>
          <w:i/>
        </w:rPr>
        <w:t>/Resublimation</w:t>
      </w:r>
      <w:r>
        <w:t xml:space="preserve"> korrekt zu verwenden.</w:t>
      </w:r>
    </w:p>
    <w:p w:rsidR="00D32E77" w:rsidRDefault="00D32E77" w:rsidP="00D32E77">
      <w:pPr>
        <w:pStyle w:val="berschrift2"/>
      </w:pPr>
      <w:bookmarkStart w:id="2" w:name="_Toc396038166"/>
      <w:r>
        <w:t>Erwartungshorizont (Inhaltlich)</w:t>
      </w:r>
      <w:bookmarkEnd w:id="2"/>
    </w:p>
    <w:p w:rsidR="00D32E77" w:rsidRDefault="00D32E77" w:rsidP="00D32E77">
      <w:pPr>
        <w:tabs>
          <w:tab w:val="left" w:pos="0"/>
          <w:tab w:val="left" w:pos="1701"/>
        </w:tabs>
      </w:pPr>
      <w:r>
        <w:t>Aufgabe 1: Die SuS sollen eine Skizze gemäß der Versuchsdurchführung der Lehrperson erstellen und die Durchführung inhaltlich korrekt niederschreiben. Die Musterlösung würde wie folgt lauten:</w:t>
      </w:r>
    </w:p>
    <w:p w:rsidR="00D32E77" w:rsidRDefault="00D32E77" w:rsidP="00D32E77">
      <w:pPr>
        <w:tabs>
          <w:tab w:val="left" w:pos="0"/>
          <w:tab w:val="left" w:pos="1701"/>
        </w:tabs>
        <w:rPr>
          <w:i/>
        </w:rPr>
      </w:pPr>
      <w:r w:rsidRPr="000360CB">
        <w:rPr>
          <w:i/>
        </w:rPr>
        <w:t>In einen Erlenmeyerkolben werden einige Iodkristalle gegeben und der Erlenmeyerkolben mit einem Uhrglas bedeckt. Auf das Uhrglas wird etwas Eis gelegt. Anschließend wird der Kolben langsam mit einem Gasbrenner erhitzt, bis sich in ein violettes Gas bildet.</w:t>
      </w:r>
    </w:p>
    <w:p w:rsidR="00D32E77" w:rsidRDefault="00D32E77" w:rsidP="00D32E77">
      <w:pPr>
        <w:tabs>
          <w:tab w:val="left" w:pos="0"/>
          <w:tab w:val="left" w:pos="1701"/>
        </w:tabs>
      </w:pPr>
      <w:r>
        <w:t>Aufgabe 2: Die SuS sollen alles, was sie beobachten konnten und was für den Versuch relevant ist dokumentieren. Die Musterlösung würde wie folgt lauten:</w:t>
      </w:r>
    </w:p>
    <w:p w:rsidR="00D32E77" w:rsidRPr="009F3D35" w:rsidRDefault="00D32E77" w:rsidP="00D32E77">
      <w:pPr>
        <w:tabs>
          <w:tab w:val="left" w:pos="0"/>
          <w:tab w:val="left" w:pos="1701"/>
        </w:tabs>
        <w:rPr>
          <w:i/>
        </w:rPr>
      </w:pPr>
      <w:r w:rsidRPr="009F3D35">
        <w:rPr>
          <w:i/>
        </w:rPr>
        <w:t>Nachdem sich ein violettes Gas gebildet hat, sind nach einiger Zeit sind an der Unterseite des Uhrglases kleine, längliche dunkelviolette Kristalle zu erkennen. Das Gas ist nun nicht mehr zu erkennen.</w:t>
      </w:r>
    </w:p>
    <w:p w:rsidR="00D32E77" w:rsidRDefault="00D32E77" w:rsidP="00D32E77">
      <w:pPr>
        <w:tabs>
          <w:tab w:val="left" w:pos="0"/>
          <w:tab w:val="left" w:pos="1701"/>
        </w:tabs>
      </w:pPr>
      <w:r>
        <w:t>Aufgabe 3: Musterlösung:</w:t>
      </w:r>
    </w:p>
    <w:p w:rsidR="00456B8E" w:rsidRPr="00D32E77" w:rsidRDefault="00D32E77" w:rsidP="00D32E77">
      <w:pPr>
        <w:tabs>
          <w:tab w:val="left" w:pos="0"/>
          <w:tab w:val="left" w:pos="1701"/>
        </w:tabs>
        <w:rPr>
          <w:color w:val="1F497D" w:themeColor="text2"/>
        </w:rPr>
      </w:pPr>
      <w:r w:rsidRPr="009F3D35">
        <w:rPr>
          <w:i/>
        </w:rPr>
        <w:t>Festes Iod verdampft durch Erhitzen mit dem Brenner und geht in den gasförmigen Zustand über. Dieser Vorgang, in dem der flüssige Aggregatzustand „übersprungen“ wird, wird als Sublimation bezeichnet. An der Rückseite des Uhrglases findet der umgekehrte Vorgang, die Resublimation statt. Iod geht vom gasförmigen Zustand direkt in den festen über.</w:t>
      </w:r>
    </w:p>
    <w:sectPr w:rsidR="00456B8E" w:rsidRPr="00D32E77" w:rsidSect="009B6D7C">
      <w:headerReference w:type="default" r:id="rId8"/>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6A" w:rsidRDefault="00A6516A" w:rsidP="00D32E77">
      <w:pPr>
        <w:spacing w:after="0" w:line="240" w:lineRule="auto"/>
      </w:pPr>
      <w:r>
        <w:separator/>
      </w:r>
    </w:p>
  </w:endnote>
  <w:endnote w:type="continuationSeparator" w:id="0">
    <w:p w:rsidR="00A6516A" w:rsidRDefault="00A6516A" w:rsidP="00D32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6A" w:rsidRDefault="00A6516A" w:rsidP="00D32E77">
      <w:pPr>
        <w:spacing w:after="0" w:line="240" w:lineRule="auto"/>
      </w:pPr>
      <w:r>
        <w:separator/>
      </w:r>
    </w:p>
  </w:footnote>
  <w:footnote w:type="continuationSeparator" w:id="0">
    <w:p w:rsidR="00A6516A" w:rsidRDefault="00A6516A" w:rsidP="00D32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8D" w:rsidRPr="0080101C" w:rsidRDefault="00A6516A" w:rsidP="00BD2A55">
    <w:pPr>
      <w:pStyle w:val="Kopfzeile"/>
      <w:tabs>
        <w:tab w:val="left" w:pos="0"/>
        <w:tab w:val="left" w:pos="284"/>
      </w:tabs>
      <w:jc w:val="right"/>
      <w:rPr>
        <w:rFonts w:asciiTheme="majorHAnsi" w:hAnsiTheme="majorHAnsi"/>
        <w:sz w:val="20"/>
        <w:szCs w:val="20"/>
      </w:rPr>
    </w:pPr>
  </w:p>
  <w:p w:rsidR="0047078D" w:rsidRPr="00BD2A55" w:rsidRDefault="00A6516A" w:rsidP="00BD2A55">
    <w:pPr>
      <w:pStyle w:val="Kopfzeile"/>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55" w:rsidRPr="0080101C" w:rsidRDefault="00A6516A" w:rsidP="00D32E77">
    <w:pPr>
      <w:pStyle w:val="Kopfzeile"/>
      <w:tabs>
        <w:tab w:val="left" w:pos="0"/>
        <w:tab w:val="left" w:pos="284"/>
      </w:tabs>
      <w:jc w:val="center"/>
      <w:rPr>
        <w:rFonts w:asciiTheme="majorHAnsi" w:hAnsiTheme="majorHAnsi"/>
        <w:sz w:val="20"/>
        <w:szCs w:val="20"/>
      </w:rPr>
    </w:pPr>
  </w:p>
  <w:p w:rsidR="000360CB" w:rsidRPr="00D83742" w:rsidRDefault="00A6516A" w:rsidP="00D83742">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3394"/>
    <w:multiLevelType w:val="hybridMultilevel"/>
    <w:tmpl w:val="3E8276BE"/>
    <w:lvl w:ilvl="0" w:tplc="D206EF20">
      <w:start w:val="1"/>
      <w:numFmt w:val="decimal"/>
      <w:lvlText w:val="%1."/>
      <w:lvlJc w:val="left"/>
      <w:pPr>
        <w:ind w:left="360" w:hanging="360"/>
      </w:pPr>
      <w:rPr>
        <w:rFonts w:asciiTheme="majorHAnsi" w:hAnsiTheme="majorHAnsi"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D32E77"/>
    <w:rsid w:val="00456B8E"/>
    <w:rsid w:val="008E32F7"/>
    <w:rsid w:val="009518A8"/>
    <w:rsid w:val="0097461B"/>
    <w:rsid w:val="00A6516A"/>
    <w:rsid w:val="00D32E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2E7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32E7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32E7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32E7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32E7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32E7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32E7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32E7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32E7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32E7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E7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32E7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32E7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32E7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32E7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32E7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32E7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32E7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32E7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32E77"/>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D32E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2E77"/>
    <w:rPr>
      <w:rFonts w:ascii="Cambria" w:hAnsi="Cambria"/>
      <w:color w:val="1D1B11" w:themeColor="background2" w:themeShade="1A"/>
    </w:rPr>
  </w:style>
  <w:style w:type="table" w:styleId="Tabellengitternetz">
    <w:name w:val="Table Grid"/>
    <w:basedOn w:val="NormaleTabelle"/>
    <w:uiPriority w:val="59"/>
    <w:rsid w:val="00D3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semiHidden/>
    <w:unhideWhenUsed/>
    <w:rsid w:val="00D32E7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32E77"/>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2358</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2</cp:revision>
  <dcterms:created xsi:type="dcterms:W3CDTF">2014-08-26T14:44:00Z</dcterms:created>
  <dcterms:modified xsi:type="dcterms:W3CDTF">2014-08-26T16:28:00Z</dcterms:modified>
</cp:coreProperties>
</file>