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F8" w:rsidRDefault="004D1FF8" w:rsidP="004D1FF8">
      <w:pPr>
        <w:pStyle w:val="berschrift2"/>
        <w:numPr>
          <w:ilvl w:val="0"/>
          <w:numId w:val="0"/>
        </w:numPr>
        <w:ind w:left="576"/>
      </w:pPr>
      <w:bookmarkStart w:id="0" w:name="_Toc395461175"/>
      <w:r>
        <w:t>V 4 – Lösung und Löslichkeit von Wasser</w:t>
      </w:r>
      <w:bookmarkEnd w:id="0"/>
    </w:p>
    <w:p w:rsidR="004D1FF8" w:rsidRDefault="004D1FF8" w:rsidP="004D1FF8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9pt;margin-top:8.75pt;width:462.45pt;height:53.8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4D1FF8" w:rsidRPr="000D10FB" w:rsidRDefault="004D1FF8" w:rsidP="004D1FF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Bei diesem Versuch soll gezeigt werden, dass Wasser als Lösungsmittel für zahlreiche Substa</w:t>
                  </w:r>
                  <w:r>
                    <w:rPr>
                      <w:color w:val="1F497D" w:themeColor="text2"/>
                    </w:rPr>
                    <w:t>n</w:t>
                  </w:r>
                  <w:r>
                    <w:rPr>
                      <w:color w:val="1F497D" w:themeColor="text2"/>
                    </w:rPr>
                    <w:t xml:space="preserve">zen, insbes. für Mineralsalze, fungiert. </w:t>
                  </w:r>
                </w:p>
              </w:txbxContent>
            </v:textbox>
            <w10:wrap type="square"/>
          </v:shape>
        </w:pict>
      </w:r>
      <w:r>
        <w:t xml:space="preserve"> 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D1FF8" w:rsidRPr="009C5E28" w:rsidTr="003D7B00">
        <w:tc>
          <w:tcPr>
            <w:tcW w:w="9322" w:type="dxa"/>
            <w:gridSpan w:val="9"/>
            <w:shd w:val="clear" w:color="auto" w:fill="4F81BD"/>
            <w:vAlign w:val="center"/>
          </w:tcPr>
          <w:p w:rsidR="004D1FF8" w:rsidRPr="009C5E28" w:rsidRDefault="004D1FF8" w:rsidP="003D7B00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D1FF8" w:rsidRPr="009C5E28" w:rsidTr="003D7B0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4D1FF8" w:rsidRPr="009C5E28" w:rsidTr="003D7B0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Default="004D1FF8" w:rsidP="003D7B0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Öl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Default="004D1FF8" w:rsidP="003D7B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D1FF8" w:rsidRDefault="004D1FF8" w:rsidP="003D7B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1FF8" w:rsidRPr="009C5E28" w:rsidTr="003D7B0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8" name="Grafik 25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46" name="Grafik 26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D1FF8" w:rsidRPr="009C5E28" w:rsidRDefault="004D1FF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FF8" w:rsidRDefault="004D1FF8" w:rsidP="004D1FF8">
      <w:pPr>
        <w:tabs>
          <w:tab w:val="left" w:pos="1701"/>
          <w:tab w:val="left" w:pos="1985"/>
        </w:tabs>
        <w:ind w:left="1980" w:hanging="1980"/>
      </w:pPr>
    </w:p>
    <w:p w:rsidR="004D1FF8" w:rsidRPr="005255DB" w:rsidRDefault="004D1FF8" w:rsidP="004D1FF8">
      <w:pPr>
        <w:autoSpaceDE w:val="0"/>
        <w:autoSpaceDN w:val="0"/>
        <w:adjustRightInd w:val="0"/>
        <w:spacing w:after="0" w:line="240" w:lineRule="auto"/>
        <w:ind w:left="1980" w:hanging="1980"/>
        <w:rPr>
          <w:rFonts w:cs="StoneSans"/>
        </w:rPr>
      </w:pPr>
      <w:r>
        <w:t xml:space="preserve">Materialien: </w:t>
      </w:r>
      <w:r>
        <w:tab/>
        <w:t xml:space="preserve">Bechergläser, </w:t>
      </w:r>
      <w:r>
        <w:rPr>
          <w:rFonts w:cs="StoneSans"/>
        </w:rPr>
        <w:t>Pipette, Dreifuß, Bunsenbrenner</w:t>
      </w:r>
    </w:p>
    <w:p w:rsidR="004D1FF8" w:rsidRDefault="004D1FF8" w:rsidP="004D1FF8">
      <w:pPr>
        <w:tabs>
          <w:tab w:val="left" w:pos="1701"/>
          <w:tab w:val="left" w:pos="1985"/>
        </w:tabs>
        <w:ind w:left="1980" w:hanging="1980"/>
      </w:pPr>
    </w:p>
    <w:p w:rsidR="004D1FF8" w:rsidRDefault="004D1FF8" w:rsidP="004D1FF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2120265" cy="3039110"/>
            <wp:effectExtent l="19050" t="0" r="0" b="0"/>
            <wp:wrapTopAndBottom/>
            <wp:docPr id="91" name="Grafik 90" descr="DSC_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9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Chemikalien:</w:t>
      </w:r>
      <w:r>
        <w:tab/>
      </w:r>
      <w:r>
        <w:tab/>
        <w:t>destilliertes Wasser, Leitungs-, Mineral- sowie Salzwasser</w:t>
      </w:r>
    </w:p>
    <w:p w:rsidR="004D1FF8" w:rsidRPr="00ED07C2" w:rsidRDefault="004D1FF8" w:rsidP="004D1FF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8" type="#_x0000_t202" style="position:absolute;left:0;text-align:left;margin-left:310.9pt;margin-top:211.05pt;width:164.35pt;height:42.8pt;z-index:251662336;mso-width-relative:margin;mso-height-relative:margin" strokecolor="white [3212]">
            <v:textbox style="mso-next-textbox:#_x0000_s1028">
              <w:txbxContent>
                <w:p w:rsidR="004D1FF8" w:rsidRDefault="004D1FF8" w:rsidP="004D1FF8">
                  <w:pPr>
                    <w:pStyle w:val="Beschriftung"/>
                    <w:spacing w:after="0"/>
                    <w:jc w:val="left"/>
                    <w:rPr>
                      <w:noProof/>
                    </w:rPr>
                  </w:pPr>
                  <w:r>
                    <w:t xml:space="preserve">Abb. 7 - </w:t>
                  </w:r>
                  <w:r>
                    <w:rPr>
                      <w:noProof/>
                    </w:rPr>
                    <w:t xml:space="preserve">  Versuchsaufbau „Lösung und </w:t>
                  </w:r>
                </w:p>
                <w:p w:rsidR="004D1FF8" w:rsidRDefault="004D1FF8" w:rsidP="004D1FF8">
                  <w:pPr>
                    <w:pStyle w:val="Beschriftung"/>
                    <w:spacing w:after="0"/>
                    <w:jc w:val="left"/>
                  </w:pPr>
                  <w:r>
                    <w:rPr>
                      <w:noProof/>
                    </w:rPr>
                    <w:t>Löslichkeit von Wasser“.</w:t>
                  </w:r>
                </w:p>
                <w:p w:rsidR="004D1FF8" w:rsidRDefault="004D1FF8" w:rsidP="004D1FF8"/>
              </w:txbxContent>
            </v:textbox>
          </v:shape>
        </w:pict>
      </w:r>
    </w:p>
    <w:p w:rsidR="004D1FF8" w:rsidRDefault="004D1FF8" w:rsidP="004D1FF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Auf den Boden des Becherglases werden jeweils ein Topfen destilliertes Wasser, Leitungs-, Mineral- und Salzwasser getropft. Anschließend wird das Becherglas vorsichtig auf dem Dreifuß erhitzt, bis die Wassertropfen verdunsten. Im Abschluss wird der Boden des Becherglases gegen Licht b</w:t>
      </w:r>
      <w:r>
        <w:t>e</w:t>
      </w:r>
      <w:r>
        <w:t>trachtet.</w:t>
      </w:r>
    </w:p>
    <w:p w:rsidR="004D1FF8" w:rsidRDefault="004D1FF8" w:rsidP="004D1FF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1210945</wp:posOffset>
            </wp:positionV>
            <wp:extent cx="2827020" cy="1880235"/>
            <wp:effectExtent l="19050" t="0" r="0" b="0"/>
            <wp:wrapTopAndBottom/>
            <wp:docPr id="5" name="Grafik 4" descr="DSC_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1213485</wp:posOffset>
            </wp:positionV>
            <wp:extent cx="2801620" cy="1880235"/>
            <wp:effectExtent l="19050" t="0" r="0" b="0"/>
            <wp:wrapTopAndBottom/>
            <wp:docPr id="1" name="Grafik 0" descr="DSC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9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>Destilliertes Wasser hinterlässt beim Verdunsten keine Rückstände. Im Gegensatz dazu bilden Leitungs-, Mineral- und Salzwasser Rückstände in Form von weißer Kruste. Am deutlichsten ist der Rückstand beim Salzwa</w:t>
      </w:r>
      <w:r>
        <w:t>s</w:t>
      </w:r>
      <w:r>
        <w:t>ser zu erkennen.</w:t>
      </w:r>
    </w:p>
    <w:p w:rsidR="004D1FF8" w:rsidRDefault="004D1FF8" w:rsidP="004D1FF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9" type="#_x0000_t202" style="position:absolute;left:0;text-align:left;margin-left:14.75pt;margin-top:160.8pt;width:291.8pt;height:20.4pt;z-index:251665408;mso-width-relative:margin;mso-height-relative:margin" strokecolor="white [3212]">
            <v:textbox style="mso-next-textbox:#_x0000_s1029">
              <w:txbxContent>
                <w:p w:rsidR="004D1FF8" w:rsidRDefault="004D1FF8" w:rsidP="004D1FF8">
                  <w:pPr>
                    <w:pStyle w:val="Beschriftung"/>
                    <w:jc w:val="left"/>
                  </w:pPr>
                  <w:r>
                    <w:t xml:space="preserve">Abb. 8 - </w:t>
                  </w:r>
                  <w:r>
                    <w:rPr>
                      <w:noProof/>
                    </w:rPr>
                    <w:t xml:space="preserve">  Proben a) vor und b) nach dem Verdampfen.</w:t>
                  </w:r>
                </w:p>
                <w:p w:rsidR="004D1FF8" w:rsidRDefault="004D1FF8" w:rsidP="004D1FF8"/>
              </w:txbxContent>
            </v:textbox>
          </v:shape>
        </w:pict>
      </w:r>
    </w:p>
    <w:p w:rsidR="004D1FF8" w:rsidRPr="00523F10" w:rsidRDefault="004D1FF8" w:rsidP="004D1FF8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Destilliertes Wasser enthält keine Mineralsalze, sodass es beim Verdunsten keine Rückstände bildet. Wenn die restlichen drei Wassersorten verdun</w:t>
      </w:r>
      <w:r>
        <w:t>s</w:t>
      </w:r>
      <w:r>
        <w:t>tet, bleiben nach der Verdunstung die im Wasser gelösten Mineralsalze z</w:t>
      </w:r>
      <w:r>
        <w:t>u</w:t>
      </w:r>
      <w:r>
        <w:t xml:space="preserve">rück. </w:t>
      </w:r>
    </w:p>
    <w:p w:rsidR="004D1FF8" w:rsidRPr="00343706" w:rsidRDefault="004D1FF8" w:rsidP="004D1FF8">
      <w:pPr>
        <w:tabs>
          <w:tab w:val="left" w:pos="1985"/>
        </w:tabs>
        <w:ind w:left="1695" w:hanging="1695"/>
        <w:rPr>
          <w:rFonts w:eastAsia="Calibri"/>
        </w:rPr>
      </w:pPr>
      <w:r>
        <w:t>Entsorgung:</w:t>
      </w:r>
      <w:r>
        <w:tab/>
      </w:r>
      <w:r>
        <w:tab/>
        <w:t>Keine besondere Entsorgung erforderlich.</w:t>
      </w:r>
    </w:p>
    <w:p w:rsidR="004D1FF8" w:rsidRPr="009E6FEB" w:rsidRDefault="004D1FF8" w:rsidP="004D1FF8">
      <w:pPr>
        <w:tabs>
          <w:tab w:val="left" w:pos="1985"/>
        </w:tabs>
        <w:spacing w:after="0"/>
        <w:ind w:left="1695" w:hanging="1695"/>
        <w:rPr>
          <w:rFonts w:eastAsia="Calibri"/>
        </w:rPr>
      </w:pPr>
      <w:r>
        <w:t>Literatur:</w:t>
      </w:r>
      <w:r>
        <w:tab/>
      </w:r>
      <w:r>
        <w:tab/>
        <w:t>Li Hamburg,</w:t>
      </w:r>
      <w:r w:rsidRPr="0040204B">
        <w:t xml:space="preserve"> </w:t>
      </w:r>
      <w:r>
        <w:t>Wasser-</w:t>
      </w:r>
      <w:r w:rsidRPr="001F010A">
        <w:t>Selbstständiges Experimentieren lernen in Klassen</w:t>
      </w:r>
      <w:r>
        <w:tab/>
      </w:r>
      <w:r w:rsidRPr="001F010A">
        <w:t>stufe 5/6</w:t>
      </w:r>
      <w:r>
        <w:t xml:space="preserve"> </w:t>
      </w:r>
      <w:r w:rsidRPr="001F010A">
        <w:t>Anregungen zum kompetenzorientierten Unterricht</w:t>
      </w:r>
      <w:r>
        <w:t>,</w:t>
      </w:r>
    </w:p>
    <w:p w:rsidR="004D1FF8" w:rsidRDefault="004D1FF8" w:rsidP="004D1FF8">
      <w:pPr>
        <w:spacing w:after="0"/>
        <w:ind w:left="1985"/>
        <w:rPr>
          <w:rFonts w:asciiTheme="majorHAnsi" w:hAnsiTheme="majorHAnsi"/>
          <w:b/>
        </w:rPr>
      </w:pPr>
      <w:r>
        <w:t>http://li.hamburg.de/contentblob/2817370/data/pdf-wasser-</w:t>
      </w:r>
      <w:r w:rsidRPr="001F010A">
        <w:t>selbststaendiges-experimentieren-lernen-in-klassenstufe-5-6-pdf-670-kb%29.pdf</w:t>
      </w:r>
      <w:r>
        <w:t xml:space="preserve">, </w:t>
      </w:r>
      <w:r>
        <w:rPr>
          <w:rFonts w:asciiTheme="majorHAnsi" w:hAnsiTheme="majorHAnsi"/>
        </w:rPr>
        <w:t>05.08.2014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Zuletzt abgerufen am 06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4 um 19:35Uhr).</w:t>
      </w:r>
    </w:p>
    <w:p w:rsidR="004D1FF8" w:rsidRPr="0040204B" w:rsidRDefault="004D1FF8" w:rsidP="004D1FF8">
      <w:pPr>
        <w:ind w:left="1410" w:hanging="1410"/>
        <w:rPr>
          <w:rFonts w:asciiTheme="majorHAnsi" w:hAnsiTheme="majorHAnsi"/>
        </w:rPr>
      </w:pPr>
    </w:p>
    <w:p w:rsidR="004D1FF8" w:rsidRPr="006E32AF" w:rsidRDefault="004D1FF8" w:rsidP="004D1FF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EF6323">
        <w:pict>
          <v:shape id="_x0000_s1026" type="#_x0000_t202" style="width:462.45pt;height:68.8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4D1FF8" w:rsidRPr="00530A18" w:rsidRDefault="004D1FF8" w:rsidP="004D1FF8">
                  <w:r>
                    <w:t>In diesem Versuch wird das Wasser als Lösungsmittel für Mineralsalze demonstriert. Man kann den Versuch schülerfreundlicher gestalten, indem man anstelle des Becherglases zwei Objek</w:t>
                  </w:r>
                  <w:r>
                    <w:t>t</w:t>
                  </w:r>
                  <w:r>
                    <w:t xml:space="preserve">träger und anstelle des Bunsenbrenners ein paar Teelichter verwendet. </w:t>
                  </w:r>
                </w:p>
                <w:p w:rsidR="004D1FF8" w:rsidRPr="00E12D75" w:rsidRDefault="004D1FF8" w:rsidP="004D1FF8"/>
              </w:txbxContent>
            </v:textbox>
            <w10:wrap type="none"/>
            <w10:anchorlock/>
          </v:shape>
        </w:pict>
      </w:r>
    </w:p>
    <w:p w:rsidR="00E5102A" w:rsidRDefault="00E5102A"/>
    <w:sectPr w:rsidR="00E5102A" w:rsidSect="00E510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1FF8"/>
    <w:rsid w:val="0033791A"/>
    <w:rsid w:val="004D1FF8"/>
    <w:rsid w:val="00E5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1FF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1FF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1FF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1FF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1FF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1FF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1FF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1FF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1FF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1FF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1FF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1FF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1FF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1F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1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1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1F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1F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1F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D1FF8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FF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1250</Characters>
  <Application>Microsoft Office Word</Application>
  <DocSecurity>0</DocSecurity>
  <Lines>10</Lines>
  <Paragraphs>2</Paragraphs>
  <ScaleCrop>false</ScaleCrop>
  <Company>Pentium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</cp:revision>
  <dcterms:created xsi:type="dcterms:W3CDTF">2014-08-26T11:06:00Z</dcterms:created>
  <dcterms:modified xsi:type="dcterms:W3CDTF">2014-08-26T11:06:00Z</dcterms:modified>
</cp:coreProperties>
</file>