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28" w:rsidRDefault="00EB1B28" w:rsidP="00EB1B28">
      <w:pPr>
        <w:pStyle w:val="berschrift2"/>
        <w:numPr>
          <w:ilvl w:val="0"/>
          <w:numId w:val="0"/>
        </w:numPr>
        <w:ind w:left="576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05pt;margin-top:44.6pt;width:462.45pt;height:72.45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EB1B28" w:rsidRPr="000D10FB" w:rsidRDefault="00EB1B28" w:rsidP="00EB1B28">
                  <w:pPr>
                    <w:rPr>
                      <w:color w:val="1F497D" w:themeColor="text2"/>
                    </w:rPr>
                  </w:pPr>
                  <w:r>
                    <w:rPr>
                      <w:color w:val="1F497D" w:themeColor="text2"/>
                    </w:rPr>
                    <w:t>Dieser Versuch stellt eine Möglichkeit dar, den SuS das Prinzip der Kapillarität zu verdeutl</w:t>
                  </w:r>
                  <w:r>
                    <w:rPr>
                      <w:color w:val="1F497D" w:themeColor="text2"/>
                    </w:rPr>
                    <w:t>i</w:t>
                  </w:r>
                  <w:r>
                    <w:rPr>
                      <w:color w:val="1F497D" w:themeColor="text2"/>
                    </w:rPr>
                    <w:t xml:space="preserve">chen. Er kann als Einstiegsexperiment durchgeführt werden, um anschließend die Adhäsion sowie Kohäsion gemeinsam mit den SuS zu erarbeiten.  </w:t>
                  </w:r>
                </w:p>
              </w:txbxContent>
            </v:textbox>
            <w10:wrap type="square"/>
          </v:shape>
        </w:pict>
      </w:r>
      <w:bookmarkStart w:id="0" w:name="_Toc395461177"/>
      <w:r>
        <w:t>V 6 – Glasscheibentechnik</w:t>
      </w:r>
      <w:bookmarkEnd w:id="0"/>
    </w:p>
    <w:p w:rsidR="00EB1B28" w:rsidRDefault="00EB1B28" w:rsidP="00EB1B28">
      <w:r>
        <w:t xml:space="preserve"> </w: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EB1B28" w:rsidRPr="009C5E28" w:rsidTr="003D7B00">
        <w:tc>
          <w:tcPr>
            <w:tcW w:w="9322" w:type="dxa"/>
            <w:gridSpan w:val="9"/>
            <w:shd w:val="clear" w:color="auto" w:fill="4F81BD"/>
            <w:vAlign w:val="center"/>
          </w:tcPr>
          <w:p w:rsidR="00EB1B28" w:rsidRPr="009C5E28" w:rsidRDefault="00EB1B28" w:rsidP="003D7B00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EB1B28" w:rsidRPr="009C5E28" w:rsidTr="003D7B00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B1B28" w:rsidRPr="009C5E28" w:rsidRDefault="00EB1B28" w:rsidP="003D7B0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B1B28" w:rsidRPr="009C5E28" w:rsidRDefault="00EB1B28" w:rsidP="003D7B00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B1B28" w:rsidRPr="009C5E28" w:rsidRDefault="00EB1B28" w:rsidP="003D7B00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</w:tr>
      <w:tr w:rsidR="00EB1B28" w:rsidRPr="009C5E28" w:rsidTr="003D7B00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B1B28" w:rsidRPr="009C5E28" w:rsidRDefault="00EB1B28" w:rsidP="003D7B0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59" name="Grafik 25" descr="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Ätzen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B1B28" w:rsidRPr="009C5E28" w:rsidRDefault="00EB1B28" w:rsidP="003D7B0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B1B28" w:rsidRPr="009C5E28" w:rsidRDefault="00EB1B28" w:rsidP="003D7B0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1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B1B28" w:rsidRPr="009C5E28" w:rsidRDefault="00EB1B28" w:rsidP="003D7B0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2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B1B28" w:rsidRPr="009C5E28" w:rsidRDefault="00EB1B28" w:rsidP="003D7B0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3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B1B28" w:rsidRPr="009C5E28" w:rsidRDefault="00EB1B28" w:rsidP="003D7B0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4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B1B28" w:rsidRPr="009C5E28" w:rsidRDefault="00EB1B28" w:rsidP="003D7B0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B1B28" w:rsidRPr="009C5E28" w:rsidRDefault="00EB1B28" w:rsidP="003D7B0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66" name="Grafik 26" descr="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izend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B1B28" w:rsidRPr="009C5E28" w:rsidRDefault="00EB1B28" w:rsidP="003D7B00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7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B28" w:rsidRDefault="00EB1B28" w:rsidP="00EB1B28">
      <w:pPr>
        <w:tabs>
          <w:tab w:val="left" w:pos="1701"/>
          <w:tab w:val="left" w:pos="1985"/>
        </w:tabs>
        <w:ind w:left="1980" w:hanging="1980"/>
      </w:pPr>
    </w:p>
    <w:p w:rsidR="00EB1B28" w:rsidRPr="005255DB" w:rsidRDefault="00EB1B28" w:rsidP="00EB1B28">
      <w:pPr>
        <w:autoSpaceDE w:val="0"/>
        <w:autoSpaceDN w:val="0"/>
        <w:adjustRightInd w:val="0"/>
        <w:spacing w:after="0" w:line="240" w:lineRule="auto"/>
        <w:ind w:left="1980" w:hanging="1980"/>
        <w:rPr>
          <w:rFonts w:cs="StoneSans"/>
        </w:rPr>
      </w:pPr>
      <w:r>
        <w:t xml:space="preserve">Materialien: </w:t>
      </w:r>
      <w:r>
        <w:tab/>
      </w:r>
      <w:r>
        <w:rPr>
          <w:rFonts w:cs="StoneSans"/>
        </w:rPr>
        <w:t>Objektträger, Petrischale, Gummiband, Streichholz (ohne Kopf)</w:t>
      </w:r>
    </w:p>
    <w:p w:rsidR="00EB1B28" w:rsidRDefault="00EB1B28" w:rsidP="00EB1B28">
      <w:pPr>
        <w:tabs>
          <w:tab w:val="left" w:pos="1701"/>
          <w:tab w:val="left" w:pos="1985"/>
        </w:tabs>
        <w:ind w:left="1980" w:hanging="1980"/>
      </w:pPr>
    </w:p>
    <w:p w:rsidR="00EB1B28" w:rsidRDefault="00EB1B28" w:rsidP="00EB1B28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Wasser</w:t>
      </w:r>
    </w:p>
    <w:p w:rsidR="00EB1B28" w:rsidRDefault="00EB1B28" w:rsidP="00EB1B28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pict>
          <v:shape id="_x0000_s1028" type="#_x0000_t202" style="position:absolute;left:0;text-align:left;margin-left:.5pt;margin-top:146.65pt;width:291.8pt;height:20.4pt;z-index:251661312;mso-width-relative:margin;mso-height-relative:margin" strokecolor="white [3212]">
            <v:textbox style="mso-next-textbox:#_x0000_s1028">
              <w:txbxContent>
                <w:p w:rsidR="00EB1B28" w:rsidRDefault="00EB1B28" w:rsidP="00EB1B28">
                  <w:pPr>
                    <w:pStyle w:val="Beschriftung"/>
                    <w:jc w:val="left"/>
                  </w:pPr>
                  <w:r>
                    <w:t xml:space="preserve">Abb. 11 - </w:t>
                  </w:r>
                  <w:r>
                    <w:rPr>
                      <w:noProof/>
                    </w:rPr>
                    <w:t xml:space="preserve">  Versuchsaufbau „Glasscheibentechnik“.</w:t>
                  </w:r>
                </w:p>
                <w:p w:rsidR="00EB1B28" w:rsidRDefault="00EB1B28" w:rsidP="00EB1B28"/>
              </w:txbxContent>
            </v:textbox>
          </v:shape>
        </w:pict>
      </w:r>
      <w:r>
        <w:rPr>
          <w:noProof/>
          <w:lang w:eastAsia="de-DE"/>
        </w:rPr>
        <w:drawing>
          <wp:inline distT="0" distB="0" distL="0" distR="0">
            <wp:extent cx="2780639" cy="1854679"/>
            <wp:effectExtent l="19050" t="0" r="661" b="0"/>
            <wp:docPr id="37" name="Grafik 36" descr="DSC_0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54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268" cy="185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2674983" cy="1854679"/>
            <wp:effectExtent l="19050" t="0" r="0" b="0"/>
            <wp:docPr id="81" name="Grafik 80" descr="DSC_0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550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410" cy="1855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B28" w:rsidRPr="00ED07C2" w:rsidRDefault="00EB1B28" w:rsidP="00EB1B28">
      <w:pPr>
        <w:tabs>
          <w:tab w:val="left" w:pos="1701"/>
          <w:tab w:val="left" w:pos="1985"/>
        </w:tabs>
      </w:pPr>
    </w:p>
    <w:p w:rsidR="00EB1B28" w:rsidRDefault="00EB1B28" w:rsidP="00EB1B28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Zwei Objektträger werden aufeinander gelegt. Anschließend wird an einer Längsseite ein Streichholz zwischen beide Gläser geklemmt. Das ganze wird mit einem Gummiband befestigt. Abschließend befüllt man eine Petr</w:t>
      </w:r>
      <w:r>
        <w:t>i</w:t>
      </w:r>
      <w:r>
        <w:t xml:space="preserve">schale zur Hälfte mit Wasser und stellt die zusammengefügten Objektträger hochkant darein. </w:t>
      </w:r>
    </w:p>
    <w:p w:rsidR="00EB1B28" w:rsidRDefault="00EB1B28" w:rsidP="00EB1B28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681355</wp:posOffset>
            </wp:positionV>
            <wp:extent cx="3652520" cy="2527300"/>
            <wp:effectExtent l="19050" t="0" r="5080" b="0"/>
            <wp:wrapTopAndBottom/>
            <wp:docPr id="82" name="Grafik 81" descr="DSC_0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551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252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Beobachtung:</w:t>
      </w:r>
      <w:r>
        <w:tab/>
      </w:r>
      <w:r>
        <w:tab/>
      </w:r>
      <w:r>
        <w:tab/>
        <w:t>Das Wasser steigt an der Seite hoch, an der die beiden Objektträger z</w:t>
      </w:r>
      <w:r>
        <w:t>u</w:t>
      </w:r>
      <w:r>
        <w:t>sammenstoßen.</w:t>
      </w:r>
    </w:p>
    <w:p w:rsidR="00EB1B28" w:rsidRDefault="00EB1B28" w:rsidP="00EB1B28">
      <w:pPr>
        <w:tabs>
          <w:tab w:val="left" w:pos="1701"/>
          <w:tab w:val="left" w:pos="1985"/>
        </w:tabs>
        <w:spacing w:after="0"/>
        <w:ind w:left="1980" w:hanging="1980"/>
        <w:rPr>
          <w:bCs/>
          <w:color w:val="auto"/>
          <w:sz w:val="18"/>
          <w:szCs w:val="18"/>
        </w:rPr>
      </w:pPr>
      <w:r w:rsidRPr="00EF6323">
        <w:rPr>
          <w:noProof/>
          <w:lang w:eastAsia="de-DE"/>
        </w:rPr>
        <w:pict>
          <v:shape id="_x0000_s1029" type="#_x0000_t202" style="position:absolute;left:0;text-align:left;margin-left:80.65pt;margin-top:206pt;width:321.95pt;height:20.4pt;z-index:251663360;mso-width-relative:margin;mso-height-relative:margin" strokecolor="white [3212]">
            <v:textbox style="mso-next-textbox:#_x0000_s1029">
              <w:txbxContent>
                <w:p w:rsidR="00EB1B28" w:rsidRDefault="00EB1B28" w:rsidP="00EB1B28">
                  <w:pPr>
                    <w:pStyle w:val="Beschriftung"/>
                    <w:jc w:val="left"/>
                  </w:pPr>
                  <w:r>
                    <w:t xml:space="preserve">Abb. 12 - </w:t>
                  </w:r>
                  <w:r>
                    <w:rPr>
                      <w:noProof/>
                    </w:rPr>
                    <w:t xml:space="preserve">  Anstieg des Wassers an der zusammengefügten Objektträgerseite.</w:t>
                  </w:r>
                </w:p>
                <w:p w:rsidR="00EB1B28" w:rsidRDefault="00EB1B28" w:rsidP="00EB1B28"/>
              </w:txbxContent>
            </v:textbox>
          </v:shape>
        </w:pict>
      </w:r>
    </w:p>
    <w:p w:rsidR="00EB1B28" w:rsidRDefault="00EB1B28" w:rsidP="00EB1B28">
      <w:pPr>
        <w:tabs>
          <w:tab w:val="left" w:pos="1701"/>
          <w:tab w:val="left" w:pos="1985"/>
        </w:tabs>
        <w:spacing w:after="0"/>
        <w:ind w:left="1980" w:hanging="1980"/>
      </w:pPr>
    </w:p>
    <w:p w:rsidR="00EB1B28" w:rsidRDefault="00EB1B28" w:rsidP="00EB1B28">
      <w:pPr>
        <w:tabs>
          <w:tab w:val="left" w:pos="1985"/>
        </w:tabs>
        <w:spacing w:after="0"/>
        <w:ind w:left="1985" w:hanging="1985"/>
      </w:pPr>
      <w:r>
        <w:t>Deutung:</w:t>
      </w:r>
      <w:r>
        <w:tab/>
        <w:t>Das Ansteigen ist eine Folge der Kapillarität, genauer genommen der Adh</w:t>
      </w:r>
      <w:r>
        <w:t>ä</w:t>
      </w:r>
      <w:r>
        <w:t xml:space="preserve">sion. Diese resultiert aus der Anziehung zwischen dem Wasser und der Wand. Diese Anziehungskräfte ermöglichen dem Wasser in den Kapillaren nach oben zu steigen. </w:t>
      </w:r>
    </w:p>
    <w:p w:rsidR="00EB1B28" w:rsidRPr="009E6FEB" w:rsidRDefault="00EB1B28" w:rsidP="00EB1B28">
      <w:pPr>
        <w:tabs>
          <w:tab w:val="left" w:pos="1985"/>
        </w:tabs>
        <w:spacing w:after="0"/>
        <w:ind w:left="1985" w:hanging="1985"/>
      </w:pPr>
      <w:r>
        <w:t>Entsorgung:</w:t>
      </w:r>
      <w:r>
        <w:tab/>
        <w:t>Keine besondere Entsorgung erforderlich.</w:t>
      </w:r>
    </w:p>
    <w:p w:rsidR="00EB1B28" w:rsidRDefault="00EB1B28" w:rsidP="00EB1B28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</w:p>
    <w:p w:rsidR="00EB1B28" w:rsidRPr="009E6FEB" w:rsidRDefault="00EB1B28" w:rsidP="00EB1B28">
      <w:pPr>
        <w:tabs>
          <w:tab w:val="left" w:pos="1985"/>
        </w:tabs>
        <w:spacing w:after="0"/>
        <w:ind w:left="1695" w:hanging="1695"/>
        <w:rPr>
          <w:rFonts w:eastAsia="Calibri"/>
        </w:rPr>
      </w:pPr>
      <w:r>
        <w:t>Literatur:</w:t>
      </w:r>
      <w:r>
        <w:tab/>
      </w:r>
      <w:r>
        <w:tab/>
        <w:t>Li Hamburg,</w:t>
      </w:r>
      <w:r w:rsidRPr="0040204B">
        <w:t xml:space="preserve"> </w:t>
      </w:r>
      <w:r>
        <w:t>Wasser-</w:t>
      </w:r>
      <w:r w:rsidRPr="001F010A">
        <w:t>Selbstständiges Experimentieren lernen in Klassen</w:t>
      </w:r>
      <w:r>
        <w:tab/>
      </w:r>
      <w:r w:rsidRPr="001F010A">
        <w:t>stufe 5/6</w:t>
      </w:r>
      <w:r>
        <w:t xml:space="preserve"> </w:t>
      </w:r>
      <w:r w:rsidRPr="001F010A">
        <w:t>Anregungen zum kompetenzorientierten Unterricht</w:t>
      </w:r>
      <w:r>
        <w:t>,</w:t>
      </w:r>
    </w:p>
    <w:p w:rsidR="00EB1B28" w:rsidRDefault="00EB1B28" w:rsidP="00EB1B28">
      <w:pPr>
        <w:spacing w:after="0"/>
        <w:ind w:left="1985"/>
        <w:rPr>
          <w:rFonts w:asciiTheme="majorHAnsi" w:hAnsiTheme="majorHAnsi"/>
          <w:b/>
        </w:rPr>
      </w:pPr>
      <w:r>
        <w:t>http://li.hamburg.de/contentblob/2817370/data/pdf-wasser-</w:t>
      </w:r>
      <w:r w:rsidRPr="001F010A">
        <w:t>selbststaendiges-experimentieren-lernen-in-klassenstufe-5-6-pdf-670-kb%29.pdf</w:t>
      </w:r>
      <w:r>
        <w:t xml:space="preserve">, </w:t>
      </w:r>
      <w:r>
        <w:rPr>
          <w:rFonts w:asciiTheme="majorHAnsi" w:hAnsiTheme="majorHAnsi"/>
        </w:rPr>
        <w:t>05.08.2014</w:t>
      </w:r>
      <w:r w:rsidRPr="00B937A2">
        <w:rPr>
          <w:rFonts w:asciiTheme="majorHAnsi" w:hAnsiTheme="majorHAnsi"/>
        </w:rPr>
        <w:t xml:space="preserve"> (</w:t>
      </w:r>
      <w:r>
        <w:rPr>
          <w:rFonts w:asciiTheme="majorHAnsi" w:hAnsiTheme="majorHAnsi"/>
        </w:rPr>
        <w:t>Zuletzt abgerufen am 06</w:t>
      </w:r>
      <w:r w:rsidRPr="00B937A2">
        <w:rPr>
          <w:rFonts w:asciiTheme="majorHAnsi" w:hAnsiTheme="majorHAnsi"/>
        </w:rPr>
        <w:t>.</w:t>
      </w:r>
      <w:r>
        <w:rPr>
          <w:rFonts w:asciiTheme="majorHAnsi" w:hAnsiTheme="majorHAnsi"/>
        </w:rPr>
        <w:t>08</w:t>
      </w:r>
      <w:r w:rsidRPr="00B937A2">
        <w:rPr>
          <w:rFonts w:asciiTheme="majorHAnsi" w:hAnsiTheme="majorHAnsi"/>
        </w:rPr>
        <w:t>.201</w:t>
      </w:r>
      <w:r>
        <w:rPr>
          <w:rFonts w:asciiTheme="majorHAnsi" w:hAnsiTheme="majorHAnsi"/>
        </w:rPr>
        <w:t>4 um 19:35Uhr).</w:t>
      </w:r>
    </w:p>
    <w:p w:rsidR="00EB1B28" w:rsidRPr="009E6FEB" w:rsidRDefault="00EB1B28" w:rsidP="00EB1B28">
      <w:pPr>
        <w:spacing w:after="0"/>
        <w:ind w:left="1985"/>
        <w:rPr>
          <w:rFonts w:asciiTheme="majorHAnsi" w:hAnsiTheme="majorHAnsi"/>
          <w:b/>
        </w:rPr>
      </w:pPr>
    </w:p>
    <w:p w:rsidR="00EB1B28" w:rsidRPr="006E32AF" w:rsidRDefault="00EB1B28" w:rsidP="00EB1B28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 w:rsidRPr="00EF6323">
        <w:pict>
          <v:shape id="_x0000_s1026" type="#_x0000_t202" style="width:462.45pt;height:66.1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EB1B28" w:rsidRPr="00530A18" w:rsidRDefault="00EB1B28" w:rsidP="00EB1B28">
                  <w:r>
                    <w:t>Das Prinzip der Kapillarität kann mit Hilfe dieses Versuchen und mit einfachen Mitteln sehr eindrucksvoll demonstriert werden. Da es ein sehr zeiteffizienter Versuch ist, eignet er sich bestens als Schülerversuch.</w:t>
                  </w:r>
                </w:p>
                <w:p w:rsidR="00EB1B28" w:rsidRPr="00E12D75" w:rsidRDefault="00EB1B28" w:rsidP="00EB1B28"/>
              </w:txbxContent>
            </v:textbox>
            <w10:wrap type="none"/>
            <w10:anchorlock/>
          </v:shape>
        </w:pict>
      </w:r>
    </w:p>
    <w:p w:rsidR="00E5102A" w:rsidRDefault="00E5102A"/>
    <w:sectPr w:rsidR="00E5102A" w:rsidSect="00E510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B1B28"/>
    <w:rsid w:val="008F5B52"/>
    <w:rsid w:val="00E5102A"/>
    <w:rsid w:val="00EB1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1B28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1B28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B1B28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B1B28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B1B2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B1B2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B1B2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B1B2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B1B2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B1B2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B1B28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B1B28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B1B28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B1B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B1B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B1B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B1B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B1B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B1B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EB1B28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1B28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1088</Characters>
  <Application>Microsoft Office Word</Application>
  <DocSecurity>0</DocSecurity>
  <Lines>9</Lines>
  <Paragraphs>2</Paragraphs>
  <ScaleCrop>false</ScaleCrop>
  <Company>Pentium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lida</cp:lastModifiedBy>
  <cp:revision>1</cp:revision>
  <dcterms:created xsi:type="dcterms:W3CDTF">2014-08-26T11:07:00Z</dcterms:created>
  <dcterms:modified xsi:type="dcterms:W3CDTF">2014-08-26T11:08:00Z</dcterms:modified>
</cp:coreProperties>
</file>